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89C5" w14:textId="5833D7DE" w:rsidR="00573AD6" w:rsidRPr="00A63D59" w:rsidRDefault="00B002B5">
      <w:pPr>
        <w:spacing w:after="0"/>
        <w:ind w:left="0" w:right="10" w:firstLine="0"/>
        <w:jc w:val="center"/>
      </w:pPr>
      <w:r w:rsidRPr="00A63D59">
        <w:rPr>
          <w:sz w:val="48"/>
        </w:rPr>
        <w:t xml:space="preserve">Cadre de compétences du conseil de </w:t>
      </w:r>
      <w:r w:rsidR="006B65E6" w:rsidRPr="00A63D59">
        <w:rPr>
          <w:sz w:val="48"/>
        </w:rPr>
        <w:t>Curling Canada</w:t>
      </w:r>
    </w:p>
    <w:p w14:paraId="3E210AEE" w14:textId="010D09AD" w:rsidR="00573AD6" w:rsidRPr="00A63D59" w:rsidRDefault="00A668E9">
      <w:pPr>
        <w:spacing w:after="149"/>
        <w:ind w:left="0" w:firstLine="0"/>
      </w:pPr>
      <w:r>
        <w:rPr>
          <w:b/>
          <w:bCs/>
          <w:i/>
          <w:iCs/>
        </w:rPr>
        <w:t>Les</w:t>
      </w:r>
      <w:r w:rsidR="002D1E91" w:rsidRPr="00A63D59">
        <w:rPr>
          <w:b/>
          <w:bCs/>
          <w:i/>
          <w:iCs/>
        </w:rPr>
        <w:t xml:space="preserve"> gouverneur</w:t>
      </w:r>
      <w:r>
        <w:rPr>
          <w:b/>
          <w:bCs/>
          <w:i/>
          <w:iCs/>
        </w:rPr>
        <w:t>s</w:t>
      </w:r>
      <w:r w:rsidR="002D1E91" w:rsidRPr="00A63D59">
        <w:rPr>
          <w:b/>
          <w:bCs/>
          <w:i/>
          <w:iCs/>
        </w:rPr>
        <w:t xml:space="preserve"> doi</w:t>
      </w:r>
      <w:r>
        <w:rPr>
          <w:b/>
          <w:bCs/>
          <w:i/>
          <w:iCs/>
        </w:rPr>
        <w:t>ven</w:t>
      </w:r>
      <w:r w:rsidR="002D1E91" w:rsidRPr="00A63D59">
        <w:rPr>
          <w:b/>
          <w:bCs/>
          <w:i/>
          <w:iCs/>
        </w:rPr>
        <w:t>t posséder tous les attributs et respecter tous les engagements énoncés sur cette première page</w:t>
      </w:r>
      <w:r w:rsidR="006B65E6" w:rsidRPr="00A63D59">
        <w:rPr>
          <w:b/>
          <w:i/>
        </w:rPr>
        <w:t xml:space="preserve">.  </w:t>
      </w:r>
    </w:p>
    <w:p w14:paraId="14AD276D" w14:textId="78959563" w:rsidR="00573AD6" w:rsidRPr="00A63D59" w:rsidRDefault="002D1E91">
      <w:pPr>
        <w:spacing w:after="41"/>
        <w:ind w:left="-5"/>
        <w:rPr>
          <w:sz w:val="23"/>
          <w:szCs w:val="23"/>
        </w:rPr>
      </w:pPr>
      <w:r w:rsidRPr="00A63D59">
        <w:rPr>
          <w:sz w:val="23"/>
          <w:szCs w:val="23"/>
        </w:rPr>
        <w:t xml:space="preserve">Dans son ensemble, le conseil des gouverneurs de Curling Canada possède idéalement et adéquatement les </w:t>
      </w:r>
      <w:r w:rsidRPr="00A63D59">
        <w:rPr>
          <w:sz w:val="23"/>
          <w:szCs w:val="23"/>
        </w:rPr>
        <w:t>douze</w:t>
      </w:r>
      <w:r w:rsidRPr="00A63D59">
        <w:rPr>
          <w:sz w:val="23"/>
          <w:szCs w:val="23"/>
        </w:rPr>
        <w:t xml:space="preserve"> compétences </w:t>
      </w:r>
      <w:r w:rsidR="0021374D" w:rsidRPr="00A63D59">
        <w:rPr>
          <w:sz w:val="23"/>
          <w:szCs w:val="23"/>
        </w:rPr>
        <w:t>particulières</w:t>
      </w:r>
    </w:p>
    <w:p w14:paraId="51CE47B4" w14:textId="6FAE4418" w:rsidR="00573AD6" w:rsidRPr="00A63D59" w:rsidRDefault="002D1E91">
      <w:pPr>
        <w:ind w:left="-5"/>
        <w:rPr>
          <w:sz w:val="23"/>
          <w:szCs w:val="23"/>
        </w:rPr>
      </w:pPr>
      <w:r w:rsidRPr="00A63D59">
        <w:rPr>
          <w:sz w:val="23"/>
          <w:szCs w:val="23"/>
        </w:rPr>
        <w:t xml:space="preserve">précisées dans le tableau ci-dessous; chaque gouverneur doit avoir </w:t>
      </w:r>
      <w:r w:rsidRPr="00A63D59">
        <w:rPr>
          <w:b/>
          <w:bCs/>
          <w:i/>
          <w:iCs/>
          <w:sz w:val="23"/>
          <w:szCs w:val="23"/>
          <w:u w:val="single"/>
        </w:rPr>
        <w:t>au moins</w:t>
      </w:r>
      <w:r w:rsidRPr="00A63D59">
        <w:rPr>
          <w:sz w:val="23"/>
          <w:szCs w:val="23"/>
        </w:rPr>
        <w:t xml:space="preserve"> trois compétences particulières</w:t>
      </w:r>
      <w:r w:rsidRPr="00A63D59">
        <w:rPr>
          <w:sz w:val="23"/>
          <w:szCs w:val="23"/>
        </w:rPr>
        <w:t>. Le but est de</w:t>
      </w:r>
      <w:r w:rsidR="0021374D" w:rsidRPr="00A63D59">
        <w:rPr>
          <w:sz w:val="23"/>
          <w:szCs w:val="23"/>
        </w:rPr>
        <w:t xml:space="preserve"> </w:t>
      </w:r>
      <w:r w:rsidR="0021374D" w:rsidRPr="00A63D59">
        <w:rPr>
          <w:sz w:val="23"/>
          <w:szCs w:val="23"/>
        </w:rPr>
        <w:t>s</w:t>
      </w:r>
      <w:r w:rsidR="00A63D59">
        <w:rPr>
          <w:sz w:val="23"/>
          <w:szCs w:val="23"/>
        </w:rPr>
        <w:t>’</w:t>
      </w:r>
      <w:r w:rsidR="0021374D" w:rsidRPr="00A63D59">
        <w:rPr>
          <w:sz w:val="23"/>
          <w:szCs w:val="23"/>
        </w:rPr>
        <w:t>assurer de</w:t>
      </w:r>
    </w:p>
    <w:p w14:paraId="02781481" w14:textId="693FEF0A" w:rsidR="002D1E91" w:rsidRPr="00A63D59" w:rsidRDefault="002D1E91" w:rsidP="0021374D">
      <w:pPr>
        <w:spacing w:after="190"/>
        <w:ind w:left="0" w:hanging="14"/>
        <w:rPr>
          <w:sz w:val="23"/>
          <w:szCs w:val="23"/>
        </w:rPr>
      </w:pPr>
      <w:r w:rsidRPr="00A63D59">
        <w:rPr>
          <w:sz w:val="23"/>
          <w:szCs w:val="23"/>
        </w:rPr>
        <w:t>perspectives diverses et utiles, parmi les gouverneurs,</w:t>
      </w:r>
      <w:r w:rsidRPr="00A63D59">
        <w:rPr>
          <w:sz w:val="23"/>
          <w:szCs w:val="23"/>
        </w:rPr>
        <w:t xml:space="preserve"> </w:t>
      </w:r>
      <w:r w:rsidRPr="00A63D59">
        <w:rPr>
          <w:sz w:val="23"/>
          <w:szCs w:val="23"/>
        </w:rPr>
        <w:t>en vue des discussions et des décisions du conseil.</w:t>
      </w:r>
    </w:p>
    <w:p w14:paraId="71A1ACB0" w14:textId="77777777" w:rsidR="00573AD6" w:rsidRPr="00A63D59" w:rsidRDefault="00573AD6">
      <w:pPr>
        <w:rPr>
          <w:sz w:val="23"/>
          <w:szCs w:val="23"/>
        </w:rPr>
        <w:sectPr w:rsidR="00573AD6" w:rsidRPr="00A63D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115" w:right="1001" w:bottom="1440" w:left="1440" w:header="300" w:footer="721" w:gutter="0"/>
          <w:cols w:space="720"/>
        </w:sectPr>
      </w:pPr>
    </w:p>
    <w:p w14:paraId="37A62D2C" w14:textId="5222F738" w:rsidR="00573AD6" w:rsidRPr="00A63D59" w:rsidRDefault="002D1E91">
      <w:pPr>
        <w:tabs>
          <w:tab w:val="center" w:pos="3978"/>
        </w:tabs>
        <w:spacing w:after="283"/>
        <w:ind w:left="-15" w:firstLine="0"/>
        <w:rPr>
          <w:sz w:val="23"/>
          <w:szCs w:val="23"/>
        </w:rPr>
      </w:pPr>
      <w:r w:rsidRPr="00A63D59">
        <w:rPr>
          <w:sz w:val="23"/>
          <w:szCs w:val="23"/>
        </w:rPr>
        <w:t xml:space="preserve">Les gouverneurs </w:t>
      </w:r>
      <w:r w:rsidRPr="00A63D59">
        <w:rPr>
          <w:b/>
          <w:bCs/>
          <w:i/>
          <w:iCs/>
          <w:sz w:val="23"/>
          <w:szCs w:val="23"/>
          <w:u w:val="single"/>
        </w:rPr>
        <w:t>doivent posséder</w:t>
      </w:r>
      <w:r w:rsidRPr="00A63D59">
        <w:rPr>
          <w:sz w:val="23"/>
          <w:szCs w:val="23"/>
        </w:rPr>
        <w:t xml:space="preserve"> les attributs suivants :</w:t>
      </w:r>
    </w:p>
    <w:p w14:paraId="7D1FC1C1" w14:textId="24FBDFA9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indépendance et bon jugement – avoir le courage de poser des questions difficiles et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exprimer leurs opinions. Leur loyauté envers les intérêts de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organisation peut exiger qu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ils expriment leur différence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opinions et persistent à exiger des réponses à leurs questions;</w:t>
      </w:r>
      <w:r w:rsidR="006B65E6" w:rsidRPr="00A63D59">
        <w:rPr>
          <w:sz w:val="23"/>
          <w:szCs w:val="23"/>
        </w:rPr>
        <w:t xml:space="preserve">  </w:t>
      </w:r>
    </w:p>
    <w:p w14:paraId="465901F9" w14:textId="46A93E81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intégrité – faire preuve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intégrité personnelle, être dignes de confiance et insister sur le comportement éthique de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 xml:space="preserve">organisation; </w:t>
      </w:r>
      <w:r w:rsidR="006B65E6" w:rsidRPr="00A63D59">
        <w:rPr>
          <w:sz w:val="23"/>
          <w:szCs w:val="23"/>
        </w:rPr>
        <w:t xml:space="preserve"> </w:t>
      </w:r>
    </w:p>
    <w:p w14:paraId="5FAD86D8" w14:textId="12DDCFAA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perspectives stratégiques à long terme;</w:t>
      </w:r>
    </w:p>
    <w:p w14:paraId="6A55E57D" w14:textId="6E8A7595" w:rsidR="0021374D" w:rsidRPr="00A63D59" w:rsidRDefault="0021374D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connaissances et expérience en matière de gouvernance organisationnelle, au niveau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une organisation quelque peu complexe;</w:t>
      </w:r>
    </w:p>
    <w:p w14:paraId="6FA074EC" w14:textId="027E1B37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connaissance des questions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affaires et des questions financières;</w:t>
      </w:r>
    </w:p>
    <w:p w14:paraId="79B27DBD" w14:textId="40F0BFFF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capacité démontrée de fonctionner efficacement dans le cadre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une équipe diversifiée;</w:t>
      </w:r>
    </w:p>
    <w:p w14:paraId="4F8EAD2D" w14:textId="033B8927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état d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esprit axé sur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amélioration continue, y compris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accueil de nouvelles idées, agilité et réaction stratégique au changement;</w:t>
      </w:r>
    </w:p>
    <w:p w14:paraId="2F967862" w14:textId="63CCB99E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résolution de conflits – être orienté vers la résolution de conflits, résilient après tout conflit et appuyer les décisions du conseil une fois qu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elles sont prises</w:t>
      </w:r>
      <w:r w:rsidRPr="00A63D59">
        <w:rPr>
          <w:sz w:val="23"/>
          <w:szCs w:val="23"/>
        </w:rPr>
        <w:t>;</w:t>
      </w:r>
      <w:r w:rsidR="006B65E6" w:rsidRPr="00A63D59">
        <w:rPr>
          <w:sz w:val="23"/>
          <w:szCs w:val="23"/>
        </w:rPr>
        <w:t xml:space="preserve">  </w:t>
      </w:r>
    </w:p>
    <w:p w14:paraId="3A9503B2" w14:textId="5FCF692A" w:rsidR="00573AD6" w:rsidRPr="00A63D59" w:rsidRDefault="00590D2A">
      <w:pPr>
        <w:numPr>
          <w:ilvl w:val="0"/>
          <w:numId w:val="1"/>
        </w:numPr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engagement envers le modèle de gouvernance fondé sur le risque</w:t>
      </w:r>
      <w:r w:rsidR="006B65E6" w:rsidRPr="00A63D59">
        <w:rPr>
          <w:sz w:val="23"/>
          <w:szCs w:val="23"/>
        </w:rPr>
        <w:t xml:space="preserve">. </w:t>
      </w:r>
    </w:p>
    <w:p w14:paraId="01BB9112" w14:textId="77777777" w:rsidR="00573AD6" w:rsidRPr="00A63D59" w:rsidRDefault="00573AD6">
      <w:pPr>
        <w:rPr>
          <w:sz w:val="23"/>
          <w:szCs w:val="23"/>
        </w:rPr>
        <w:sectPr w:rsidR="00573AD6" w:rsidRPr="00A63D59">
          <w:type w:val="continuous"/>
          <w:pgSz w:w="15840" w:h="12240" w:orient="landscape"/>
          <w:pgMar w:top="1440" w:right="857" w:bottom="1440" w:left="1440" w:header="720" w:footer="720" w:gutter="0"/>
          <w:cols w:num="2" w:space="320"/>
        </w:sectPr>
      </w:pPr>
    </w:p>
    <w:p w14:paraId="2E15B686" w14:textId="0B7A5C2B" w:rsidR="00590D2A" w:rsidRPr="00A63D59" w:rsidRDefault="00E83F2B" w:rsidP="0021374D">
      <w:pPr>
        <w:spacing w:after="0"/>
        <w:ind w:left="0" w:firstLine="0"/>
        <w:rPr>
          <w:sz w:val="23"/>
          <w:szCs w:val="23"/>
        </w:rPr>
      </w:pPr>
      <w:r>
        <w:rPr>
          <w:sz w:val="23"/>
          <w:szCs w:val="23"/>
        </w:rPr>
        <w:t>Les</w:t>
      </w:r>
      <w:r w:rsidR="00590D2A" w:rsidRPr="00A63D59">
        <w:rPr>
          <w:sz w:val="23"/>
          <w:szCs w:val="23"/>
        </w:rPr>
        <w:t xml:space="preserve"> gouverneur</w:t>
      </w:r>
      <w:r>
        <w:rPr>
          <w:sz w:val="23"/>
          <w:szCs w:val="23"/>
        </w:rPr>
        <w:t>s</w:t>
      </w:r>
      <w:r w:rsidR="00590D2A" w:rsidRPr="00A63D59">
        <w:rPr>
          <w:sz w:val="23"/>
          <w:szCs w:val="23"/>
        </w:rPr>
        <w:t xml:space="preserve"> doi</w:t>
      </w:r>
      <w:r>
        <w:rPr>
          <w:sz w:val="23"/>
          <w:szCs w:val="23"/>
        </w:rPr>
        <w:t>ven</w:t>
      </w:r>
      <w:r w:rsidR="00590D2A" w:rsidRPr="00A63D59">
        <w:rPr>
          <w:sz w:val="23"/>
          <w:szCs w:val="23"/>
        </w:rPr>
        <w:t>t être prêt</w:t>
      </w:r>
      <w:r>
        <w:rPr>
          <w:sz w:val="23"/>
          <w:szCs w:val="23"/>
        </w:rPr>
        <w:t>s</w:t>
      </w:r>
      <w:r w:rsidR="00590D2A" w:rsidRPr="00A63D59">
        <w:rPr>
          <w:sz w:val="23"/>
          <w:szCs w:val="23"/>
        </w:rPr>
        <w:t xml:space="preserve"> à :</w:t>
      </w:r>
    </w:p>
    <w:p w14:paraId="38C5A1F1" w14:textId="0FE6606C" w:rsidR="00590D2A" w:rsidRPr="00A63D59" w:rsidRDefault="00590D2A" w:rsidP="00590D2A">
      <w:pPr>
        <w:numPr>
          <w:ilvl w:val="0"/>
          <w:numId w:val="1"/>
        </w:numPr>
        <w:spacing w:after="0"/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 xml:space="preserve">comprendre et exercer </w:t>
      </w:r>
      <w:r w:rsidR="00E83F2B">
        <w:rPr>
          <w:sz w:val="23"/>
          <w:szCs w:val="23"/>
        </w:rPr>
        <w:t>leurs</w:t>
      </w:r>
      <w:r w:rsidRPr="00A63D59">
        <w:rPr>
          <w:sz w:val="23"/>
          <w:szCs w:val="23"/>
        </w:rPr>
        <w:t xml:space="preserve"> responsabilités fiduciaires; </w:t>
      </w:r>
    </w:p>
    <w:p w14:paraId="13B90502" w14:textId="0B2037F7" w:rsidR="00573AD6" w:rsidRPr="00A63D59" w:rsidRDefault="00590D2A">
      <w:pPr>
        <w:numPr>
          <w:ilvl w:val="0"/>
          <w:numId w:val="1"/>
        </w:numPr>
        <w:spacing w:after="15"/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>assister et contribuer aux réunions du conseil et des comités – être disponible</w:t>
      </w:r>
      <w:r w:rsidR="00E83F2B">
        <w:rPr>
          <w:sz w:val="23"/>
          <w:szCs w:val="23"/>
        </w:rPr>
        <w:t>s</w:t>
      </w:r>
      <w:r w:rsidRPr="00A63D59">
        <w:rPr>
          <w:sz w:val="23"/>
          <w:szCs w:val="23"/>
        </w:rPr>
        <w:t xml:space="preserve">, consacrer </w:t>
      </w:r>
      <w:r w:rsidR="00E83F2B">
        <w:rPr>
          <w:sz w:val="23"/>
          <w:szCs w:val="23"/>
        </w:rPr>
        <w:t>leur</w:t>
      </w:r>
      <w:r w:rsidRPr="00A63D59">
        <w:rPr>
          <w:sz w:val="23"/>
          <w:szCs w:val="23"/>
        </w:rPr>
        <w:t xml:space="preserve"> temps et </w:t>
      </w:r>
      <w:r w:rsidR="00E83F2B">
        <w:rPr>
          <w:sz w:val="23"/>
          <w:szCs w:val="23"/>
        </w:rPr>
        <w:t>leurs</w:t>
      </w:r>
      <w:r w:rsidRPr="00A63D59">
        <w:rPr>
          <w:sz w:val="23"/>
          <w:szCs w:val="23"/>
        </w:rPr>
        <w:t xml:space="preserve"> ressources pour comprendre et faire progresser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organisation et être passionné</w:t>
      </w:r>
      <w:r w:rsidR="00E83F2B">
        <w:rPr>
          <w:sz w:val="23"/>
          <w:szCs w:val="23"/>
        </w:rPr>
        <w:t>s</w:t>
      </w:r>
      <w:r w:rsidRPr="00A63D59">
        <w:rPr>
          <w:sz w:val="23"/>
          <w:szCs w:val="23"/>
        </w:rPr>
        <w:t xml:space="preserve"> par le succès de l</w:t>
      </w:r>
      <w:r w:rsidR="00A63D59">
        <w:rPr>
          <w:sz w:val="23"/>
          <w:szCs w:val="23"/>
        </w:rPr>
        <w:t>’</w:t>
      </w:r>
      <w:r w:rsidRPr="00A63D59">
        <w:rPr>
          <w:sz w:val="23"/>
          <w:szCs w:val="23"/>
        </w:rPr>
        <w:t>organisation;</w:t>
      </w:r>
      <w:r w:rsidR="006B65E6" w:rsidRPr="00A63D59">
        <w:rPr>
          <w:sz w:val="23"/>
          <w:szCs w:val="23"/>
        </w:rPr>
        <w:t xml:space="preserve"> </w:t>
      </w:r>
    </w:p>
    <w:p w14:paraId="3C01CA50" w14:textId="6D95C6F4" w:rsidR="00573AD6" w:rsidRPr="00A63D59" w:rsidRDefault="00590D2A" w:rsidP="00A31E03">
      <w:pPr>
        <w:numPr>
          <w:ilvl w:val="0"/>
          <w:numId w:val="1"/>
        </w:numPr>
        <w:spacing w:after="80"/>
        <w:ind w:hanging="360"/>
        <w:rPr>
          <w:sz w:val="23"/>
          <w:szCs w:val="23"/>
        </w:rPr>
      </w:pPr>
      <w:r w:rsidRPr="00A63D59">
        <w:rPr>
          <w:sz w:val="23"/>
          <w:szCs w:val="23"/>
        </w:rPr>
        <w:t xml:space="preserve">consacrer le temps et les efforts nécessaires pour être </w:t>
      </w:r>
      <w:r w:rsidR="00E83F2B">
        <w:rPr>
          <w:sz w:val="23"/>
          <w:szCs w:val="23"/>
        </w:rPr>
        <w:t>des</w:t>
      </w:r>
      <w:r w:rsidRPr="00A63D59">
        <w:rPr>
          <w:sz w:val="23"/>
          <w:szCs w:val="23"/>
        </w:rPr>
        <w:t xml:space="preserve"> membre</w:t>
      </w:r>
      <w:r w:rsidR="00E83F2B">
        <w:rPr>
          <w:sz w:val="23"/>
          <w:szCs w:val="23"/>
        </w:rPr>
        <w:t>s</w:t>
      </w:r>
      <w:r w:rsidRPr="00A63D59">
        <w:rPr>
          <w:sz w:val="23"/>
          <w:szCs w:val="23"/>
        </w:rPr>
        <w:t xml:space="preserve"> efficace</w:t>
      </w:r>
      <w:r w:rsidR="00E83F2B">
        <w:rPr>
          <w:sz w:val="23"/>
          <w:szCs w:val="23"/>
        </w:rPr>
        <w:t>s</w:t>
      </w:r>
      <w:r w:rsidRPr="00A63D59">
        <w:rPr>
          <w:sz w:val="23"/>
          <w:szCs w:val="23"/>
        </w:rPr>
        <w:t xml:space="preserve"> du conseil.</w:t>
      </w:r>
      <w:r w:rsidR="006B65E6" w:rsidRPr="00A63D59">
        <w:rPr>
          <w:sz w:val="23"/>
          <w:szCs w:val="23"/>
        </w:rPr>
        <w:t xml:space="preserve"> </w:t>
      </w:r>
    </w:p>
    <w:p w14:paraId="46A59D0F" w14:textId="19111B58" w:rsidR="00573AD6" w:rsidRPr="00A63D59" w:rsidRDefault="006B65E6" w:rsidP="0021374D">
      <w:pPr>
        <w:spacing w:after="0"/>
        <w:ind w:left="0" w:firstLine="0"/>
        <w:rPr>
          <w:sz w:val="23"/>
          <w:szCs w:val="23"/>
        </w:rPr>
      </w:pPr>
      <w:r w:rsidRPr="00A63D59">
        <w:rPr>
          <w:i/>
          <w:sz w:val="23"/>
          <w:szCs w:val="23"/>
        </w:rPr>
        <w:t xml:space="preserve">*** </w:t>
      </w:r>
      <w:r w:rsidR="006F2E19" w:rsidRPr="00A63D59">
        <w:rPr>
          <w:i/>
          <w:iCs/>
          <w:sz w:val="23"/>
          <w:szCs w:val="23"/>
        </w:rPr>
        <w:t>La capacité d</w:t>
      </w:r>
      <w:r w:rsidR="00A63D59">
        <w:rPr>
          <w:i/>
          <w:iCs/>
          <w:sz w:val="23"/>
          <w:szCs w:val="23"/>
        </w:rPr>
        <w:t>’</w:t>
      </w:r>
      <w:r w:rsidR="006F2E19" w:rsidRPr="00A63D59">
        <w:rPr>
          <w:i/>
          <w:iCs/>
          <w:sz w:val="23"/>
          <w:szCs w:val="23"/>
        </w:rPr>
        <w:t>engager de sérieux dialogues dans les deux langues officielles au Canada est un atout et sera considérée comme une compétence supplémentaire et tout aussi importante</w:t>
      </w:r>
      <w:r w:rsidRPr="00A63D59">
        <w:rPr>
          <w:i/>
          <w:sz w:val="23"/>
          <w:szCs w:val="23"/>
        </w:rPr>
        <w:t xml:space="preserve">. </w:t>
      </w:r>
      <w:r w:rsidRPr="00A63D59">
        <w:rPr>
          <w:sz w:val="23"/>
          <w:szCs w:val="23"/>
        </w:rPr>
        <w:t xml:space="preserve"> </w:t>
      </w:r>
    </w:p>
    <w:p w14:paraId="5A871B65" w14:textId="77777777" w:rsidR="00573AD6" w:rsidRPr="00A63D59" w:rsidRDefault="00573AD6">
      <w:pPr>
        <w:spacing w:after="0"/>
        <w:ind w:left="-1440" w:right="11" w:firstLine="0"/>
      </w:pPr>
    </w:p>
    <w:tbl>
      <w:tblPr>
        <w:tblStyle w:val="TableGrid"/>
        <w:tblW w:w="13410" w:type="dxa"/>
        <w:tblInd w:w="-159" w:type="dxa"/>
        <w:tblCellMar>
          <w:top w:w="157" w:type="dxa"/>
          <w:left w:w="98" w:type="dxa"/>
          <w:right w:w="116" w:type="dxa"/>
        </w:tblCellMar>
        <w:tblLook w:val="04A0" w:firstRow="1" w:lastRow="0" w:firstColumn="1" w:lastColumn="0" w:noHBand="0" w:noVBand="1"/>
      </w:tblPr>
      <w:tblGrid>
        <w:gridCol w:w="3272"/>
        <w:gridCol w:w="10138"/>
      </w:tblGrid>
      <w:tr w:rsidR="00573AD6" w:rsidRPr="00A63D59" w14:paraId="392BE464" w14:textId="77777777" w:rsidTr="0098722A">
        <w:trPr>
          <w:trHeight w:val="386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C32CE75" w14:textId="6B30CBE0" w:rsidR="00573AD6" w:rsidRPr="00B82359" w:rsidRDefault="006B65E6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B82359">
              <w:rPr>
                <w:b/>
                <w:sz w:val="23"/>
                <w:szCs w:val="23"/>
              </w:rPr>
              <w:t>Com</w:t>
            </w:r>
            <w:r w:rsidR="002117EA" w:rsidRPr="00B82359">
              <w:rPr>
                <w:b/>
                <w:sz w:val="23"/>
                <w:szCs w:val="23"/>
              </w:rPr>
              <w:t>pétence</w:t>
            </w:r>
            <w:r w:rsidRPr="00B8235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4270D0A" w14:textId="0419251D" w:rsidR="00573AD6" w:rsidRPr="00B82359" w:rsidRDefault="006B65E6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b/>
                <w:sz w:val="23"/>
                <w:szCs w:val="23"/>
              </w:rPr>
              <w:t>Ex</w:t>
            </w:r>
            <w:r w:rsidR="002117EA" w:rsidRPr="00B82359">
              <w:rPr>
                <w:b/>
                <w:sz w:val="23"/>
                <w:szCs w:val="23"/>
              </w:rPr>
              <w:t>e</w:t>
            </w:r>
            <w:r w:rsidRPr="00B82359">
              <w:rPr>
                <w:b/>
                <w:sz w:val="23"/>
                <w:szCs w:val="23"/>
              </w:rPr>
              <w:t xml:space="preserve">mples </w:t>
            </w:r>
          </w:p>
        </w:tc>
      </w:tr>
      <w:tr w:rsidR="00573AD6" w:rsidRPr="00A63D59" w14:paraId="02500F70" w14:textId="77777777">
        <w:trPr>
          <w:trHeight w:val="2190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AD2A" w14:textId="6AB97A01" w:rsidR="00573AD6" w:rsidRPr="00B82359" w:rsidRDefault="002117EA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B82359">
              <w:rPr>
                <w:rFonts w:cstheme="minorHAnsi"/>
                <w:b/>
                <w:sz w:val="23"/>
                <w:szCs w:val="23"/>
              </w:rPr>
              <w:t>Expérience de haut dirigeant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001E" w14:textId="1AAEF185" w:rsidR="00573AD6" w:rsidRPr="0098722A" w:rsidRDefault="002117EA" w:rsidP="00FE7026">
            <w:pPr>
              <w:spacing w:after="15" w:line="241" w:lineRule="auto"/>
              <w:ind w:left="0" w:right="54" w:firstLine="0"/>
              <w:jc w:val="both"/>
              <w:rPr>
                <w:sz w:val="21"/>
                <w:szCs w:val="21"/>
              </w:rPr>
            </w:pPr>
            <w:r w:rsidRPr="00B82359">
              <w:rPr>
                <w:sz w:val="23"/>
                <w:szCs w:val="23"/>
              </w:rPr>
              <w:t>Expérience en tant que dirigeant supérieur ou cadre de direction dans un organisme gouvernemental ou du secteur public ou privé</w:t>
            </w:r>
            <w:r w:rsidR="006B65E6" w:rsidRPr="00B82359">
              <w:rPr>
                <w:sz w:val="23"/>
                <w:szCs w:val="23"/>
              </w:rPr>
              <w:t xml:space="preserve">. </w:t>
            </w:r>
            <w:r w:rsidR="009157B7" w:rsidRPr="0098722A">
              <w:rPr>
                <w:i/>
                <w:sz w:val="21"/>
                <w:szCs w:val="21"/>
              </w:rPr>
              <w:t xml:space="preserve">Exemples précis : </w:t>
            </w:r>
            <w:r w:rsidR="00FE7026" w:rsidRPr="0098722A">
              <w:rPr>
                <w:i/>
                <w:sz w:val="21"/>
                <w:szCs w:val="21"/>
              </w:rPr>
              <w:t>prendre place</w:t>
            </w:r>
            <w:r w:rsidR="009157B7" w:rsidRPr="0098722A">
              <w:rPr>
                <w:i/>
                <w:sz w:val="21"/>
                <w:szCs w:val="21"/>
              </w:rPr>
              <w:t xml:space="preserve"> à une table de </w:t>
            </w:r>
            <w:r w:rsidR="00FE7026" w:rsidRPr="0098722A">
              <w:rPr>
                <w:i/>
                <w:sz w:val="21"/>
                <w:szCs w:val="21"/>
              </w:rPr>
              <w:t>hauts dirigeants</w:t>
            </w:r>
            <w:r w:rsidR="009157B7" w:rsidRPr="0098722A">
              <w:rPr>
                <w:i/>
                <w:sz w:val="21"/>
                <w:szCs w:val="21"/>
              </w:rPr>
              <w:t xml:space="preserve">, </w:t>
            </w:r>
            <w:r w:rsidR="00536613" w:rsidRPr="0098722A">
              <w:rPr>
                <w:i/>
                <w:sz w:val="21"/>
                <w:szCs w:val="21"/>
              </w:rPr>
              <w:t>particip</w:t>
            </w:r>
            <w:r w:rsidR="00FE7026" w:rsidRPr="0098722A">
              <w:rPr>
                <w:i/>
                <w:sz w:val="21"/>
                <w:szCs w:val="21"/>
              </w:rPr>
              <w:t>er</w:t>
            </w:r>
            <w:r w:rsidR="00536613" w:rsidRPr="0098722A">
              <w:rPr>
                <w:i/>
                <w:sz w:val="21"/>
                <w:szCs w:val="21"/>
              </w:rPr>
              <w:t xml:space="preserve"> </w:t>
            </w:r>
            <w:r w:rsidR="009157B7" w:rsidRPr="0098722A">
              <w:rPr>
                <w:i/>
                <w:sz w:val="21"/>
                <w:szCs w:val="21"/>
              </w:rPr>
              <w:t xml:space="preserve">à des réunions de direction, </w:t>
            </w:r>
            <w:r w:rsidR="00FE7026" w:rsidRPr="0098722A">
              <w:rPr>
                <w:i/>
                <w:sz w:val="21"/>
                <w:szCs w:val="21"/>
              </w:rPr>
              <w:t>être engagé dans des</w:t>
            </w:r>
            <w:r w:rsidR="009157B7" w:rsidRPr="0098722A">
              <w:rPr>
                <w:i/>
                <w:sz w:val="21"/>
                <w:szCs w:val="21"/>
              </w:rPr>
              <w:t xml:space="preserve"> interaction</w:t>
            </w:r>
            <w:r w:rsidR="00FE7026" w:rsidRPr="0098722A">
              <w:rPr>
                <w:i/>
                <w:sz w:val="21"/>
                <w:szCs w:val="21"/>
              </w:rPr>
              <w:t>s</w:t>
            </w:r>
            <w:r w:rsidR="009157B7" w:rsidRPr="0098722A">
              <w:rPr>
                <w:i/>
                <w:sz w:val="21"/>
                <w:szCs w:val="21"/>
              </w:rPr>
              <w:t xml:space="preserve"> directe</w:t>
            </w:r>
            <w:r w:rsidR="00FE7026" w:rsidRPr="0098722A">
              <w:rPr>
                <w:i/>
                <w:sz w:val="21"/>
                <w:szCs w:val="21"/>
              </w:rPr>
              <w:t>s</w:t>
            </w:r>
            <w:r w:rsidR="009157B7" w:rsidRPr="0098722A">
              <w:rPr>
                <w:i/>
                <w:sz w:val="21"/>
                <w:szCs w:val="21"/>
              </w:rPr>
              <w:t xml:space="preserve">, soit </w:t>
            </w:r>
            <w:r w:rsidR="00FE7026" w:rsidRPr="0098722A">
              <w:rPr>
                <w:i/>
                <w:sz w:val="21"/>
                <w:szCs w:val="21"/>
              </w:rPr>
              <w:t>rendre compte</w:t>
            </w:r>
            <w:r w:rsidR="009157B7" w:rsidRPr="0098722A">
              <w:rPr>
                <w:i/>
                <w:sz w:val="21"/>
                <w:szCs w:val="21"/>
              </w:rPr>
              <w:t xml:space="preserve"> à un conseil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="009157B7" w:rsidRPr="0098722A">
              <w:rPr>
                <w:i/>
                <w:sz w:val="21"/>
                <w:szCs w:val="21"/>
              </w:rPr>
              <w:t>administration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="009157B7" w:rsidRPr="0098722A">
              <w:rPr>
                <w:i/>
                <w:sz w:val="21"/>
                <w:szCs w:val="21"/>
              </w:rPr>
              <w:t xml:space="preserve">une organisation complexe ou en </w:t>
            </w:r>
            <w:r w:rsidR="00FE7026" w:rsidRPr="0098722A">
              <w:rPr>
                <w:i/>
                <w:sz w:val="21"/>
                <w:szCs w:val="21"/>
              </w:rPr>
              <w:t>être</w:t>
            </w:r>
            <w:r w:rsidR="009157B7" w:rsidRPr="0098722A">
              <w:rPr>
                <w:i/>
                <w:sz w:val="21"/>
                <w:szCs w:val="21"/>
              </w:rPr>
              <w:t xml:space="preserve"> </w:t>
            </w:r>
            <w:r w:rsidR="00E83F2B" w:rsidRPr="0098722A">
              <w:rPr>
                <w:i/>
                <w:sz w:val="21"/>
                <w:szCs w:val="21"/>
              </w:rPr>
              <w:t xml:space="preserve">une </w:t>
            </w:r>
            <w:r w:rsidR="009157B7" w:rsidRPr="0098722A">
              <w:rPr>
                <w:i/>
                <w:sz w:val="21"/>
                <w:szCs w:val="21"/>
              </w:rPr>
              <w:t>ressource clé.</w:t>
            </w:r>
            <w:r w:rsidR="006B65E6" w:rsidRPr="0098722A">
              <w:rPr>
                <w:i/>
                <w:sz w:val="21"/>
                <w:szCs w:val="21"/>
              </w:rPr>
              <w:t xml:space="preserve">  </w:t>
            </w:r>
          </w:p>
          <w:p w14:paraId="5BDE7343" w14:textId="77777777" w:rsidR="00573AD6" w:rsidRPr="00A63D59" w:rsidRDefault="006B65E6">
            <w:pPr>
              <w:spacing w:after="0"/>
              <w:ind w:left="0" w:firstLine="0"/>
            </w:pPr>
            <w:r w:rsidRPr="00A63D59">
              <w:t xml:space="preserve"> </w:t>
            </w:r>
          </w:p>
          <w:p w14:paraId="7FF8AE9F" w14:textId="74DB1DE6" w:rsidR="00573AD6" w:rsidRPr="00B82359" w:rsidRDefault="006A1A76" w:rsidP="00F1288C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Prendre part à</w:t>
            </w:r>
            <w:r w:rsidRPr="00B82359">
              <w:rPr>
                <w:sz w:val="23"/>
                <w:szCs w:val="23"/>
              </w:rPr>
              <w:t xml:space="preserve">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 xml:space="preserve">élaboration </w:t>
            </w:r>
            <w:r w:rsidRPr="00B82359">
              <w:rPr>
                <w:sz w:val="23"/>
                <w:szCs w:val="23"/>
              </w:rPr>
              <w:t xml:space="preserve">du budget </w:t>
            </w:r>
            <w:r w:rsidRPr="00B82359">
              <w:rPr>
                <w:sz w:val="23"/>
                <w:szCs w:val="23"/>
              </w:rPr>
              <w:t xml:space="preserve">et </w:t>
            </w:r>
            <w:r w:rsidRPr="00B82359">
              <w:rPr>
                <w:sz w:val="23"/>
                <w:szCs w:val="23"/>
              </w:rPr>
              <w:t xml:space="preserve">à </w:t>
            </w:r>
            <w:r w:rsidRPr="00B82359">
              <w:rPr>
                <w:sz w:val="23"/>
                <w:szCs w:val="23"/>
              </w:rPr>
              <w:t>la présentation de rapports budgétaires,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identification et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atténuation des risques,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examen et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approbation des politiques et des procédures, la structure organisationnelle (postes individuels et décisions plus importantes)</w:t>
            </w:r>
            <w:r w:rsidRPr="00B82359">
              <w:rPr>
                <w:sz w:val="23"/>
                <w:szCs w:val="23"/>
              </w:rPr>
              <w:t>,</w:t>
            </w:r>
            <w:r w:rsidRPr="00B82359">
              <w:rPr>
                <w:sz w:val="23"/>
                <w:szCs w:val="23"/>
              </w:rPr>
              <w:t xml:space="preserve"> qui ont une incidence sur les employés,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 xml:space="preserve">engagement dans la planification stratégique et </w:t>
            </w:r>
            <w:r w:rsidR="00F1288C" w:rsidRPr="00B82359">
              <w:rPr>
                <w:sz w:val="23"/>
                <w:szCs w:val="23"/>
              </w:rPr>
              <w:t>l</w:t>
            </w:r>
            <w:r w:rsidR="00A63D59" w:rsidRPr="00B82359">
              <w:rPr>
                <w:sz w:val="23"/>
                <w:szCs w:val="23"/>
              </w:rPr>
              <w:t>’</w:t>
            </w:r>
            <w:r w:rsidR="00F1288C" w:rsidRPr="00B82359">
              <w:rPr>
                <w:sz w:val="23"/>
                <w:szCs w:val="23"/>
              </w:rPr>
              <w:t>établissement de</w:t>
            </w:r>
            <w:r w:rsidRPr="00B82359">
              <w:rPr>
                <w:sz w:val="23"/>
                <w:szCs w:val="23"/>
              </w:rPr>
              <w:t xml:space="preserve"> rapports</w:t>
            </w:r>
            <w:r w:rsidR="00F1288C" w:rsidRPr="00B82359">
              <w:rPr>
                <w:sz w:val="23"/>
                <w:szCs w:val="23"/>
              </w:rPr>
              <w:t xml:space="preserve"> stratégiques</w:t>
            </w:r>
            <w:r w:rsidRPr="00B82359">
              <w:rPr>
                <w:sz w:val="23"/>
                <w:szCs w:val="23"/>
              </w:rPr>
              <w:t>, etc.</w:t>
            </w:r>
            <w:r w:rsidR="006B65E6" w:rsidRPr="00B82359">
              <w:rPr>
                <w:sz w:val="23"/>
                <w:szCs w:val="23"/>
              </w:rPr>
              <w:t xml:space="preserve">  </w:t>
            </w:r>
          </w:p>
        </w:tc>
      </w:tr>
      <w:tr w:rsidR="00573AD6" w:rsidRPr="00A63D59" w14:paraId="015EB497" w14:textId="77777777">
        <w:trPr>
          <w:trHeight w:val="78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46CF0F6" w14:textId="6AEF506E" w:rsidR="00573AD6" w:rsidRPr="00B82359" w:rsidRDefault="006B65E6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B82359">
              <w:rPr>
                <w:b/>
                <w:sz w:val="23"/>
                <w:szCs w:val="23"/>
              </w:rPr>
              <w:t>Ris</w:t>
            </w:r>
            <w:r w:rsidR="00BE0827" w:rsidRPr="00B82359">
              <w:rPr>
                <w:b/>
                <w:sz w:val="23"/>
                <w:szCs w:val="23"/>
              </w:rPr>
              <w:t>que</w:t>
            </w:r>
            <w:r w:rsidRPr="00B823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264ECD3" w14:textId="2CC47866" w:rsidR="00573AD6" w:rsidRPr="00B82359" w:rsidRDefault="00BE0827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Identification des principaux risques d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une organisation</w:t>
            </w:r>
            <w:r w:rsidR="006B65E6" w:rsidRPr="00B82359">
              <w:rPr>
                <w:sz w:val="23"/>
                <w:szCs w:val="23"/>
              </w:rPr>
              <w:t xml:space="preserve">. </w:t>
            </w:r>
          </w:p>
          <w:p w14:paraId="24DE5B3B" w14:textId="5E967B9E" w:rsidR="00573AD6" w:rsidRPr="0098722A" w:rsidRDefault="00B57BF2" w:rsidP="00AA26CF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98722A">
              <w:rPr>
                <w:i/>
                <w:sz w:val="21"/>
                <w:szCs w:val="21"/>
              </w:rPr>
              <w:t xml:space="preserve">Exemples </w:t>
            </w:r>
            <w:r w:rsidRPr="0098722A">
              <w:rPr>
                <w:i/>
                <w:sz w:val="21"/>
                <w:szCs w:val="21"/>
              </w:rPr>
              <w:t>précis</w:t>
            </w:r>
            <w:r w:rsidRPr="0098722A">
              <w:rPr>
                <w:i/>
                <w:sz w:val="21"/>
                <w:szCs w:val="21"/>
              </w:rPr>
              <w:t xml:space="preserve"> : superviser une équipe de personnes en tant </w:t>
            </w:r>
            <w:r w:rsidRPr="0098722A">
              <w:rPr>
                <w:i/>
                <w:sz w:val="21"/>
                <w:szCs w:val="21"/>
              </w:rPr>
              <w:t>qu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>agent principal de gestion</w:t>
            </w:r>
            <w:r w:rsidRPr="0098722A">
              <w:rPr>
                <w:i/>
                <w:sz w:val="21"/>
                <w:szCs w:val="21"/>
              </w:rPr>
              <w:t xml:space="preserve"> des risques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 xml:space="preserve">une organisation ou </w:t>
            </w:r>
            <w:r w:rsidR="00AA26CF" w:rsidRPr="0098722A">
              <w:rPr>
                <w:i/>
                <w:sz w:val="21"/>
                <w:szCs w:val="21"/>
              </w:rPr>
              <w:t>l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>équivalent.</w:t>
            </w:r>
            <w:r w:rsidR="006B65E6" w:rsidRPr="0098722A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573AD6" w:rsidRPr="00A63D59" w14:paraId="226ED8D7" w14:textId="777777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2A347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C7EAAE4" w14:textId="34A36B4D" w:rsidR="00573AD6" w:rsidRPr="00B82359" w:rsidRDefault="002951C2" w:rsidP="00F502EB">
            <w:pPr>
              <w:spacing w:after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Direction de</w:t>
            </w:r>
            <w:r w:rsidR="00F502EB" w:rsidRPr="00B82359">
              <w:rPr>
                <w:sz w:val="23"/>
                <w:szCs w:val="23"/>
              </w:rPr>
              <w:t xml:space="preserve"> divers intervenants et dirigeants d</w:t>
            </w:r>
            <w:r w:rsidR="00A63D59" w:rsidRPr="00B82359">
              <w:rPr>
                <w:sz w:val="23"/>
                <w:szCs w:val="23"/>
              </w:rPr>
              <w:t>’</w:t>
            </w:r>
            <w:r w:rsidR="00F502EB" w:rsidRPr="00B82359">
              <w:rPr>
                <w:sz w:val="23"/>
                <w:szCs w:val="23"/>
              </w:rPr>
              <w:t>une organisation</w:t>
            </w:r>
            <w:r w:rsidR="00F502EB" w:rsidRPr="00B82359">
              <w:rPr>
                <w:sz w:val="23"/>
                <w:szCs w:val="23"/>
              </w:rPr>
              <w:t>,</w:t>
            </w:r>
            <w:r w:rsidR="00F502EB" w:rsidRPr="00B82359">
              <w:rPr>
                <w:sz w:val="23"/>
                <w:szCs w:val="23"/>
              </w:rPr>
              <w:t xml:space="preserve"> au moyen d</w:t>
            </w:r>
            <w:r w:rsidR="00A63D59" w:rsidRPr="00B82359">
              <w:rPr>
                <w:sz w:val="23"/>
                <w:szCs w:val="23"/>
              </w:rPr>
              <w:t>’</w:t>
            </w:r>
            <w:r w:rsidR="00F502EB" w:rsidRPr="00B82359">
              <w:rPr>
                <w:sz w:val="23"/>
                <w:szCs w:val="23"/>
              </w:rPr>
              <w:t>exercices d</w:t>
            </w:r>
            <w:r w:rsidR="00A63D59" w:rsidRPr="00B82359">
              <w:rPr>
                <w:sz w:val="23"/>
                <w:szCs w:val="23"/>
              </w:rPr>
              <w:t>’</w:t>
            </w:r>
            <w:r w:rsidR="00F502EB" w:rsidRPr="00B82359">
              <w:rPr>
                <w:sz w:val="23"/>
                <w:szCs w:val="23"/>
              </w:rPr>
              <w:t>identification et d</w:t>
            </w:r>
            <w:r w:rsidR="00A63D59" w:rsidRPr="00B82359">
              <w:rPr>
                <w:sz w:val="23"/>
                <w:szCs w:val="23"/>
              </w:rPr>
              <w:t>’</w:t>
            </w:r>
            <w:r w:rsidR="00F502EB" w:rsidRPr="00B82359">
              <w:rPr>
                <w:sz w:val="23"/>
                <w:szCs w:val="23"/>
              </w:rPr>
              <w:t>atténuation des risques</w:t>
            </w:r>
            <w:r w:rsidR="00F502EB" w:rsidRPr="00B82359">
              <w:rPr>
                <w:sz w:val="23"/>
                <w:szCs w:val="23"/>
              </w:rPr>
              <w:t>,</w:t>
            </w:r>
            <w:r w:rsidR="00F502EB" w:rsidRPr="00B82359">
              <w:rPr>
                <w:sz w:val="23"/>
                <w:szCs w:val="23"/>
              </w:rPr>
              <w:t xml:space="preserve"> et </w:t>
            </w:r>
            <w:r>
              <w:rPr>
                <w:sz w:val="23"/>
                <w:szCs w:val="23"/>
              </w:rPr>
              <w:t>compte rendu</w:t>
            </w:r>
            <w:r w:rsidR="00F502EB" w:rsidRPr="00B82359">
              <w:rPr>
                <w:sz w:val="23"/>
                <w:szCs w:val="23"/>
              </w:rPr>
              <w:t xml:space="preserve"> à </w:t>
            </w:r>
            <w:r w:rsidR="00F502EB" w:rsidRPr="00B82359">
              <w:rPr>
                <w:sz w:val="23"/>
                <w:szCs w:val="23"/>
              </w:rPr>
              <w:t>un président</w:t>
            </w:r>
            <w:r w:rsidR="00F502EB" w:rsidRPr="00B82359">
              <w:rPr>
                <w:sz w:val="23"/>
                <w:szCs w:val="23"/>
              </w:rPr>
              <w:t xml:space="preserve"> ou PDG </w:t>
            </w:r>
            <w:r w:rsidR="00F502EB" w:rsidRPr="00B82359">
              <w:rPr>
                <w:sz w:val="23"/>
                <w:szCs w:val="23"/>
              </w:rPr>
              <w:t>et, en fin de compte, à un conseil d</w:t>
            </w:r>
            <w:r w:rsidR="00A63D59" w:rsidRPr="00B82359">
              <w:rPr>
                <w:sz w:val="23"/>
                <w:szCs w:val="23"/>
              </w:rPr>
              <w:t>’</w:t>
            </w:r>
            <w:r w:rsidR="00F502EB" w:rsidRPr="00B82359">
              <w:rPr>
                <w:sz w:val="23"/>
                <w:szCs w:val="23"/>
              </w:rPr>
              <w:t>administration.</w:t>
            </w:r>
            <w:r w:rsidR="006B65E6" w:rsidRPr="00B82359">
              <w:rPr>
                <w:sz w:val="23"/>
                <w:szCs w:val="23"/>
              </w:rPr>
              <w:t xml:space="preserve"> </w:t>
            </w:r>
          </w:p>
        </w:tc>
      </w:tr>
      <w:tr w:rsidR="00573AD6" w:rsidRPr="00A63D59" w14:paraId="676AE30E" w14:textId="77777777"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7079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DC4868F" w14:textId="42F2FCE6" w:rsidR="00573AD6" w:rsidRPr="00B82359" w:rsidRDefault="00BE0827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Conception ou surveillance de l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équivalent d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un programme de gestion des risques d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entreprise</w:t>
            </w:r>
            <w:r w:rsidR="006B65E6" w:rsidRPr="00B82359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2CB8EC5D" w14:textId="77777777">
        <w:trPr>
          <w:trHeight w:val="159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7864" w14:textId="3C35BA31" w:rsidR="00573AD6" w:rsidRPr="00B82359" w:rsidRDefault="006D65FA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B82359">
              <w:rPr>
                <w:b/>
                <w:sz w:val="23"/>
                <w:szCs w:val="23"/>
              </w:rPr>
              <w:t>Gestion de projet</w:t>
            </w:r>
            <w:r w:rsidR="006B65E6" w:rsidRPr="00B823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41D0" w14:textId="3784E0C6" w:rsidR="00573AD6" w:rsidRPr="00B82359" w:rsidRDefault="006D65FA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Expérience en direction de la gestion du changement</w:t>
            </w:r>
            <w:r w:rsidR="006B65E6" w:rsidRPr="00B82359">
              <w:rPr>
                <w:sz w:val="23"/>
                <w:szCs w:val="23"/>
              </w:rPr>
              <w:t xml:space="preserve">. </w:t>
            </w:r>
          </w:p>
          <w:p w14:paraId="404185DB" w14:textId="4E79DBF8" w:rsidR="00573AD6" w:rsidRPr="0098722A" w:rsidRDefault="00F502EB" w:rsidP="004C3D51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98722A">
              <w:rPr>
                <w:i/>
                <w:sz w:val="21"/>
                <w:szCs w:val="21"/>
              </w:rPr>
              <w:t>Direction</w:t>
            </w:r>
            <w:r w:rsidRPr="0098722A">
              <w:rPr>
                <w:i/>
                <w:sz w:val="21"/>
                <w:szCs w:val="21"/>
              </w:rPr>
              <w:t xml:space="preserve"> est le mot clé – il </w:t>
            </w:r>
            <w:r w:rsidRPr="0098722A">
              <w:rPr>
                <w:i/>
                <w:sz w:val="21"/>
                <w:szCs w:val="21"/>
              </w:rPr>
              <w:t>doit s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>agir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 xml:space="preserve">une </w:t>
            </w:r>
            <w:r w:rsidRPr="0098722A">
              <w:rPr>
                <w:i/>
                <w:sz w:val="21"/>
                <w:szCs w:val="21"/>
              </w:rPr>
              <w:t xml:space="preserve">ou de </w:t>
            </w:r>
            <w:r w:rsidRPr="0098722A">
              <w:rPr>
                <w:i/>
                <w:sz w:val="21"/>
                <w:szCs w:val="21"/>
              </w:rPr>
              <w:t xml:space="preserve">tâches </w:t>
            </w:r>
            <w:r w:rsidRPr="0098722A">
              <w:rPr>
                <w:i/>
                <w:sz w:val="21"/>
                <w:szCs w:val="21"/>
              </w:rPr>
              <w:t xml:space="preserve">pour lesquelles </w:t>
            </w:r>
            <w:r w:rsidRPr="0098722A">
              <w:rPr>
                <w:i/>
                <w:sz w:val="21"/>
                <w:szCs w:val="21"/>
              </w:rPr>
              <w:t>vous deviez déterminer les étapes, obtenir l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>a</w:t>
            </w:r>
            <w:r w:rsidRPr="0098722A">
              <w:rPr>
                <w:i/>
                <w:sz w:val="21"/>
                <w:szCs w:val="21"/>
              </w:rPr>
              <w:t>pprobation</w:t>
            </w:r>
            <w:r w:rsidRPr="0098722A">
              <w:rPr>
                <w:i/>
                <w:sz w:val="21"/>
                <w:szCs w:val="21"/>
              </w:rPr>
              <w:t xml:space="preserve"> de la haute direction et </w:t>
            </w:r>
            <w:r w:rsidR="005F7966" w:rsidRPr="0098722A">
              <w:rPr>
                <w:i/>
                <w:sz w:val="21"/>
                <w:szCs w:val="21"/>
              </w:rPr>
              <w:t xml:space="preserve">produire un bon résultat </w:t>
            </w:r>
            <w:r w:rsidRPr="0098722A">
              <w:rPr>
                <w:i/>
                <w:sz w:val="21"/>
                <w:szCs w:val="21"/>
              </w:rPr>
              <w:t>final (documents clés</w:t>
            </w:r>
            <w:r w:rsidR="005F7966" w:rsidRPr="0098722A">
              <w:rPr>
                <w:i/>
                <w:sz w:val="21"/>
                <w:szCs w:val="21"/>
              </w:rPr>
              <w:t xml:space="preserve">, </w:t>
            </w:r>
            <w:r w:rsidRPr="0098722A">
              <w:rPr>
                <w:i/>
                <w:sz w:val="21"/>
                <w:szCs w:val="21"/>
              </w:rPr>
              <w:t xml:space="preserve">c.-à-d. </w:t>
            </w:r>
            <w:r w:rsidR="005F7966" w:rsidRPr="0098722A">
              <w:rPr>
                <w:i/>
                <w:sz w:val="21"/>
                <w:szCs w:val="21"/>
              </w:rPr>
              <w:t>modifications</w:t>
            </w:r>
            <w:r w:rsidRPr="0098722A">
              <w:rPr>
                <w:i/>
                <w:sz w:val="21"/>
                <w:szCs w:val="21"/>
              </w:rPr>
              <w:t xml:space="preserve"> de politique</w:t>
            </w:r>
            <w:r w:rsidR="005F7966" w:rsidRPr="0098722A">
              <w:rPr>
                <w:i/>
                <w:sz w:val="21"/>
                <w:szCs w:val="21"/>
              </w:rPr>
              <w:t>s</w:t>
            </w:r>
            <w:r w:rsidRPr="0098722A">
              <w:rPr>
                <w:i/>
                <w:sz w:val="21"/>
                <w:szCs w:val="21"/>
              </w:rPr>
              <w:t xml:space="preserve">, </w:t>
            </w:r>
            <w:r w:rsidR="005F7966" w:rsidRPr="0098722A">
              <w:rPr>
                <w:i/>
                <w:sz w:val="21"/>
                <w:szCs w:val="21"/>
              </w:rPr>
              <w:t xml:space="preserve">production de </w:t>
            </w:r>
            <w:r w:rsidRPr="0098722A">
              <w:rPr>
                <w:i/>
                <w:sz w:val="21"/>
                <w:szCs w:val="21"/>
              </w:rPr>
              <w:t>rapports clés (certains éléments de l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>engagement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 xml:space="preserve">un </w:t>
            </w:r>
            <w:r w:rsidR="005F7966" w:rsidRPr="0098722A">
              <w:rPr>
                <w:i/>
                <w:sz w:val="21"/>
                <w:szCs w:val="21"/>
              </w:rPr>
              <w:t xml:space="preserve">groupe représentatif </w:t>
            </w:r>
            <w:r w:rsidRPr="0098722A">
              <w:rPr>
                <w:i/>
                <w:sz w:val="21"/>
                <w:szCs w:val="21"/>
              </w:rPr>
              <w:t xml:space="preserve">de personnes </w:t>
            </w:r>
            <w:r w:rsidR="00061EDC" w:rsidRPr="0098722A">
              <w:rPr>
                <w:i/>
                <w:sz w:val="21"/>
                <w:szCs w:val="21"/>
              </w:rPr>
              <w:t xml:space="preserve">ou </w:t>
            </w:r>
            <w:r w:rsidR="00794B05" w:rsidRPr="0098722A">
              <w:rPr>
                <w:i/>
                <w:sz w:val="21"/>
                <w:szCs w:val="21"/>
              </w:rPr>
              <w:t xml:space="preserve">de </w:t>
            </w:r>
            <w:r w:rsidR="00061EDC" w:rsidRPr="0098722A">
              <w:rPr>
                <w:i/>
                <w:sz w:val="21"/>
                <w:szCs w:val="21"/>
              </w:rPr>
              <w:t>secteurs</w:t>
            </w:r>
            <w:r w:rsidRPr="0098722A">
              <w:rPr>
                <w:i/>
                <w:sz w:val="21"/>
                <w:szCs w:val="21"/>
              </w:rPr>
              <w:t xml:space="preserve">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 xml:space="preserve">une organisation et </w:t>
            </w:r>
            <w:r w:rsidR="004C3D51" w:rsidRPr="0098722A">
              <w:rPr>
                <w:i/>
                <w:sz w:val="21"/>
                <w:szCs w:val="21"/>
              </w:rPr>
              <w:t>extraction</w:t>
            </w:r>
            <w:r w:rsidRPr="0098722A">
              <w:rPr>
                <w:i/>
                <w:sz w:val="21"/>
                <w:szCs w:val="21"/>
              </w:rPr>
              <w:t xml:space="preserve"> </w:t>
            </w:r>
            <w:r w:rsidR="004C3D51" w:rsidRPr="0098722A">
              <w:rPr>
                <w:i/>
                <w:sz w:val="21"/>
                <w:szCs w:val="21"/>
              </w:rPr>
              <w:t>ou</w:t>
            </w:r>
            <w:r w:rsidRPr="0098722A">
              <w:rPr>
                <w:i/>
                <w:sz w:val="21"/>
                <w:szCs w:val="21"/>
              </w:rPr>
              <w:t xml:space="preserve"> fourni</w:t>
            </w:r>
            <w:r w:rsidR="004C3D51" w:rsidRPr="0098722A">
              <w:rPr>
                <w:i/>
                <w:sz w:val="21"/>
                <w:szCs w:val="21"/>
              </w:rPr>
              <w:t>ture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Pr="0098722A">
              <w:rPr>
                <w:i/>
                <w:sz w:val="21"/>
                <w:szCs w:val="21"/>
              </w:rPr>
              <w:t xml:space="preserve">un ensemble de recommandations à la haute direction </w:t>
            </w:r>
            <w:r w:rsidR="004C3D51" w:rsidRPr="0098722A">
              <w:rPr>
                <w:i/>
                <w:sz w:val="21"/>
                <w:szCs w:val="21"/>
              </w:rPr>
              <w:t>ou au</w:t>
            </w:r>
            <w:r w:rsidRPr="0098722A">
              <w:rPr>
                <w:i/>
                <w:sz w:val="21"/>
                <w:szCs w:val="21"/>
              </w:rPr>
              <w:t xml:space="preserve"> conseil</w:t>
            </w:r>
            <w:r w:rsidR="004C3D51" w:rsidRPr="0098722A">
              <w:rPr>
                <w:i/>
                <w:sz w:val="21"/>
                <w:szCs w:val="21"/>
              </w:rPr>
              <w:t xml:space="preserve"> d</w:t>
            </w:r>
            <w:r w:rsidR="00A63D59" w:rsidRPr="0098722A">
              <w:rPr>
                <w:i/>
                <w:sz w:val="21"/>
                <w:szCs w:val="21"/>
              </w:rPr>
              <w:t>’</w:t>
            </w:r>
            <w:r w:rsidR="004C3D51" w:rsidRPr="0098722A">
              <w:rPr>
                <w:i/>
                <w:sz w:val="21"/>
                <w:szCs w:val="21"/>
              </w:rPr>
              <w:t>administration</w:t>
            </w:r>
            <w:r w:rsidRPr="0098722A">
              <w:rPr>
                <w:i/>
                <w:sz w:val="21"/>
                <w:szCs w:val="21"/>
              </w:rPr>
              <w:t>.</w:t>
            </w:r>
            <w:r w:rsidR="006B65E6" w:rsidRPr="0098722A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573AD6" w:rsidRPr="00A63D59" w14:paraId="4940CE33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08267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7825C" w14:textId="5C39639C" w:rsidR="00573AD6" w:rsidRPr="00B82359" w:rsidRDefault="00F50929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Une accréditation ou un titre en gestion de projet</w:t>
            </w:r>
            <w:r w:rsidR="006B65E6" w:rsidRPr="00B82359">
              <w:rPr>
                <w:sz w:val="23"/>
                <w:szCs w:val="23"/>
              </w:rPr>
              <w:t xml:space="preserve"> </w:t>
            </w:r>
            <w:r w:rsidRPr="00B82359">
              <w:rPr>
                <w:sz w:val="23"/>
                <w:szCs w:val="23"/>
              </w:rPr>
              <w:t>serait utile</w:t>
            </w:r>
            <w:r w:rsidR="006B65E6" w:rsidRPr="00B82359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5C9BED27" w14:textId="77777777"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5F01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9976" w14:textId="09C66E39" w:rsidR="00573AD6" w:rsidRPr="00B82359" w:rsidRDefault="007A6A34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B82359">
              <w:rPr>
                <w:sz w:val="23"/>
                <w:szCs w:val="23"/>
              </w:rPr>
              <w:t>Expérience dans la direction et la supervision de projets, jusqu</w:t>
            </w:r>
            <w:r w:rsidR="00A63D59" w:rsidRPr="00B82359">
              <w:rPr>
                <w:sz w:val="23"/>
                <w:szCs w:val="23"/>
              </w:rPr>
              <w:t>’</w:t>
            </w:r>
            <w:r w:rsidRPr="00B82359">
              <w:rPr>
                <w:sz w:val="23"/>
                <w:szCs w:val="23"/>
              </w:rPr>
              <w:t>à leur réalisation réussie</w:t>
            </w:r>
            <w:r w:rsidR="006B65E6" w:rsidRPr="00B82359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4DBB3B5C" w14:textId="77777777">
        <w:trPr>
          <w:trHeight w:val="105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EF10AA8" w14:textId="77777777" w:rsidR="0056263C" w:rsidRPr="0098722A" w:rsidRDefault="0056263C" w:rsidP="0056263C">
            <w:pPr>
              <w:rPr>
                <w:rFonts w:cstheme="minorHAnsi"/>
                <w:b/>
                <w:sz w:val="23"/>
                <w:szCs w:val="23"/>
              </w:rPr>
            </w:pPr>
            <w:r w:rsidRPr="0098722A">
              <w:rPr>
                <w:b/>
                <w:sz w:val="23"/>
                <w:szCs w:val="23"/>
              </w:rPr>
              <w:lastRenderedPageBreak/>
              <w:t>Connaissances financières et contrôles opérationnels</w:t>
            </w:r>
          </w:p>
          <w:p w14:paraId="64E5CE3A" w14:textId="451DAFE0" w:rsidR="00573AD6" w:rsidRPr="00A63D59" w:rsidRDefault="00573AD6" w:rsidP="0056263C">
            <w:pPr>
              <w:spacing w:after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F2577D6" w14:textId="57B6D899" w:rsidR="00573AD6" w:rsidRPr="0098722A" w:rsidRDefault="001D105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Capacité de lire, de comprendre et d</w:t>
            </w:r>
            <w:r w:rsidR="00A63D59" w:rsidRPr="0098722A">
              <w:rPr>
                <w:sz w:val="23"/>
                <w:szCs w:val="23"/>
              </w:rPr>
              <w:t>’</w:t>
            </w:r>
            <w:r w:rsidRPr="0098722A">
              <w:rPr>
                <w:sz w:val="23"/>
                <w:szCs w:val="23"/>
              </w:rPr>
              <w:t xml:space="preserve">analyser </w:t>
            </w:r>
            <w:r w:rsidRPr="0098722A">
              <w:rPr>
                <w:sz w:val="23"/>
                <w:szCs w:val="23"/>
              </w:rPr>
              <w:t>d</w:t>
            </w:r>
            <w:r w:rsidRPr="0098722A">
              <w:rPr>
                <w:sz w:val="23"/>
                <w:szCs w:val="23"/>
              </w:rPr>
              <w:t>es états financiers</w:t>
            </w:r>
            <w:r w:rsidRPr="0098722A">
              <w:rPr>
                <w:sz w:val="23"/>
                <w:szCs w:val="23"/>
              </w:rPr>
              <w:t xml:space="preserve"> complexes</w:t>
            </w:r>
            <w:r w:rsidR="006B65E6" w:rsidRPr="0098722A">
              <w:rPr>
                <w:sz w:val="23"/>
                <w:szCs w:val="23"/>
              </w:rPr>
              <w:t xml:space="preserve">. </w:t>
            </w:r>
          </w:p>
          <w:p w14:paraId="3B7334BE" w14:textId="0F7E5C1A" w:rsidR="00573AD6" w:rsidRPr="0098722A" w:rsidRDefault="00A63D59" w:rsidP="00284C56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98722A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="00284C56" w:rsidRPr="0098722A">
              <w:rPr>
                <w:i/>
                <w:sz w:val="21"/>
                <w:szCs w:val="21"/>
                <w:lang w:val="fr"/>
              </w:rPr>
              <w:t xml:space="preserve">lien 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direct à </w:t>
            </w:r>
            <w:r w:rsidR="00284C56" w:rsidRPr="0098722A">
              <w:rPr>
                <w:i/>
                <w:sz w:val="21"/>
                <w:szCs w:val="21"/>
                <w:lang w:val="fr"/>
              </w:rPr>
              <w:t xml:space="preserve">de 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l’expérience </w:t>
            </w:r>
            <w:r w:rsidR="00284C56" w:rsidRPr="0098722A">
              <w:rPr>
                <w:i/>
                <w:sz w:val="21"/>
                <w:szCs w:val="21"/>
                <w:lang w:val="fr"/>
              </w:rPr>
              <w:t>à cet égard</w:t>
            </w:r>
            <w:r w:rsidR="0098722A">
              <w:rPr>
                <w:i/>
                <w:sz w:val="21"/>
                <w:szCs w:val="21"/>
                <w:lang w:val="fr"/>
              </w:rPr>
              <w:t>,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 avec un budget suffisamment important pour inclure plusieurs employés, </w:t>
            </w:r>
            <w:r w:rsidR="00284C56" w:rsidRPr="0098722A">
              <w:rPr>
                <w:i/>
                <w:sz w:val="21"/>
                <w:szCs w:val="21"/>
                <w:lang w:val="fr"/>
              </w:rPr>
              <w:t xml:space="preserve">des 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actifs et </w:t>
            </w:r>
            <w:r w:rsidR="00284C56" w:rsidRPr="0098722A">
              <w:rPr>
                <w:i/>
                <w:sz w:val="21"/>
                <w:szCs w:val="21"/>
                <w:lang w:val="fr"/>
              </w:rPr>
              <w:t xml:space="preserve">des </w:t>
            </w:r>
            <w:r w:rsidRPr="0098722A">
              <w:rPr>
                <w:i/>
                <w:sz w:val="21"/>
                <w:szCs w:val="21"/>
                <w:lang w:val="fr"/>
              </w:rPr>
              <w:t>passifs (y compris les obligations contractuelles), etc.</w:t>
            </w:r>
            <w:r w:rsidR="00284C56" w:rsidRPr="0098722A">
              <w:rPr>
                <w:i/>
                <w:sz w:val="21"/>
                <w:szCs w:val="21"/>
                <w:lang w:val="fr"/>
              </w:rPr>
              <w:t xml:space="preserve">  </w:t>
            </w:r>
          </w:p>
        </w:tc>
      </w:tr>
      <w:tr w:rsidR="00573AD6" w:rsidRPr="00A63D59" w14:paraId="77BBC214" w14:textId="77777777"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0633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DB79AD6" w14:textId="6E6FB91E" w:rsidR="00573AD6" w:rsidRPr="0098722A" w:rsidRDefault="001D105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Expérience des normes de comptabilité financières, des contrôles internes, de la vérification et de la production de rapports</w:t>
            </w:r>
            <w:r w:rsidR="006B65E6" w:rsidRPr="0098722A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59AFB1AE" w14:textId="77777777">
        <w:tblPrEx>
          <w:tblCellMar>
            <w:right w:w="105" w:type="dxa"/>
          </w:tblCellMar>
        </w:tblPrEx>
        <w:trPr>
          <w:trHeight w:val="51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F25BA11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55FDD0A" w14:textId="270D2CD6" w:rsidR="00573AD6" w:rsidRPr="0098722A" w:rsidRDefault="00284C56" w:rsidP="00243351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98722A">
              <w:rPr>
                <w:i/>
                <w:sz w:val="21"/>
                <w:szCs w:val="21"/>
                <w:lang w:val="fr"/>
              </w:rPr>
              <w:t xml:space="preserve">Exemples précis : avoir </w:t>
            </w:r>
            <w:r w:rsidR="00243351" w:rsidRPr="0098722A">
              <w:rPr>
                <w:i/>
                <w:sz w:val="21"/>
                <w:szCs w:val="21"/>
                <w:lang w:val="fr"/>
              </w:rPr>
              <w:t xml:space="preserve">été 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supervisé </w:t>
            </w:r>
            <w:r w:rsidR="00243351" w:rsidRPr="0098722A">
              <w:rPr>
                <w:i/>
                <w:sz w:val="21"/>
                <w:szCs w:val="21"/>
                <w:lang w:val="fr"/>
              </w:rPr>
              <w:t>dans l’accomplissement de tâches de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 vérificateur</w:t>
            </w:r>
            <w:r w:rsidR="00243351" w:rsidRPr="0098722A">
              <w:rPr>
                <w:i/>
                <w:sz w:val="21"/>
                <w:szCs w:val="21"/>
                <w:lang w:val="fr"/>
              </w:rPr>
              <w:t>,</w:t>
            </w:r>
            <w:r w:rsidRPr="0098722A">
              <w:rPr>
                <w:i/>
                <w:sz w:val="21"/>
                <w:szCs w:val="21"/>
                <w:lang w:val="fr"/>
              </w:rPr>
              <w:t xml:space="preserve"> interne ou externe</w:t>
            </w:r>
            <w:r w:rsidR="00243351" w:rsidRPr="0098722A">
              <w:rPr>
                <w:i/>
                <w:sz w:val="21"/>
                <w:szCs w:val="21"/>
                <w:lang w:val="fr"/>
              </w:rPr>
              <w:t>,</w:t>
            </w:r>
            <w:r w:rsidRPr="0098722A">
              <w:rPr>
                <w:i/>
                <w:sz w:val="21"/>
                <w:szCs w:val="21"/>
              </w:rPr>
              <w:t xml:space="preserve"> </w:t>
            </w:r>
            <w:r w:rsidR="00243351" w:rsidRPr="0098722A">
              <w:rPr>
                <w:i/>
                <w:sz w:val="21"/>
                <w:szCs w:val="21"/>
                <w:lang w:val="fr"/>
              </w:rPr>
              <w:t xml:space="preserve">ou </w:t>
            </w:r>
            <w:r w:rsidR="00243351" w:rsidRPr="0098722A">
              <w:rPr>
                <w:i/>
                <w:sz w:val="21"/>
                <w:szCs w:val="21"/>
                <w:lang w:val="fr"/>
              </w:rPr>
              <w:t xml:space="preserve">avoir </w:t>
            </w:r>
            <w:r w:rsidR="00243351" w:rsidRPr="0098722A">
              <w:rPr>
                <w:i/>
                <w:sz w:val="21"/>
                <w:szCs w:val="21"/>
                <w:lang w:val="fr"/>
              </w:rPr>
              <w:t>directement</w:t>
            </w:r>
            <w:r w:rsidR="00243351" w:rsidRPr="0098722A">
              <w:rPr>
                <w:i/>
                <w:sz w:val="21"/>
                <w:szCs w:val="21"/>
                <w:lang w:val="fr"/>
              </w:rPr>
              <w:t xml:space="preserve"> supervisé de telles tâches</w:t>
            </w:r>
            <w:r w:rsidR="006B65E6" w:rsidRPr="0098722A">
              <w:rPr>
                <w:i/>
                <w:sz w:val="21"/>
                <w:szCs w:val="21"/>
              </w:rPr>
              <w:t xml:space="preserve">.  </w:t>
            </w:r>
          </w:p>
        </w:tc>
      </w:tr>
      <w:tr w:rsidR="00573AD6" w:rsidRPr="00A63D59" w14:paraId="00C88921" w14:textId="77777777">
        <w:tblPrEx>
          <w:tblCellMar>
            <w:right w:w="105" w:type="dxa"/>
          </w:tblCellMar>
        </w:tblPrEx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5360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2CB6AAE" w14:textId="23A5292B" w:rsidR="00573AD6" w:rsidRPr="0098722A" w:rsidRDefault="00B23F7A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U</w:t>
            </w:r>
            <w:r w:rsidRPr="0098722A">
              <w:rPr>
                <w:sz w:val="23"/>
                <w:szCs w:val="23"/>
              </w:rPr>
              <w:t>n titre professionnel en finances serait idéal</w:t>
            </w:r>
            <w:r w:rsidR="006B65E6" w:rsidRPr="0098722A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106F8430" w14:textId="77777777">
        <w:tblPrEx>
          <w:tblCellMar>
            <w:right w:w="105" w:type="dxa"/>
          </w:tblCellMar>
        </w:tblPrEx>
        <w:trPr>
          <w:trHeight w:val="1080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9936B" w14:textId="77777777" w:rsidR="00066494" w:rsidRPr="0098722A" w:rsidRDefault="00066494">
            <w:pPr>
              <w:spacing w:after="0"/>
              <w:ind w:left="2" w:firstLine="0"/>
              <w:rPr>
                <w:b/>
                <w:sz w:val="23"/>
                <w:szCs w:val="23"/>
              </w:rPr>
            </w:pPr>
            <w:r w:rsidRPr="0098722A">
              <w:rPr>
                <w:b/>
                <w:sz w:val="23"/>
                <w:szCs w:val="23"/>
              </w:rPr>
              <w:t>Planification stratégique</w:t>
            </w:r>
          </w:p>
          <w:p w14:paraId="709E28E7" w14:textId="01DD96CC" w:rsidR="00573AD6" w:rsidRPr="0098722A" w:rsidRDefault="00066494">
            <w:pPr>
              <w:spacing w:after="0"/>
              <w:ind w:left="2" w:firstLine="0"/>
              <w:rPr>
                <w:bCs/>
                <w:i/>
                <w:iCs/>
                <w:sz w:val="23"/>
                <w:szCs w:val="23"/>
              </w:rPr>
            </w:pPr>
            <w:r w:rsidRPr="0098722A">
              <w:rPr>
                <w:bCs/>
                <w:i/>
                <w:iCs/>
                <w:sz w:val="23"/>
                <w:szCs w:val="23"/>
              </w:rPr>
              <w:t>M</w:t>
            </w:r>
            <w:r w:rsidRPr="0098722A">
              <w:rPr>
                <w:bCs/>
                <w:i/>
                <w:iCs/>
                <w:sz w:val="23"/>
                <w:szCs w:val="23"/>
              </w:rPr>
              <w:t>ise en œuvre du plan stratégique</w:t>
            </w:r>
            <w:r w:rsidRPr="0098722A">
              <w:rPr>
                <w:rFonts w:cstheme="minorHAnsi"/>
                <w:bCs/>
                <w:i/>
                <w:iCs/>
                <w:sz w:val="23"/>
                <w:szCs w:val="23"/>
              </w:rPr>
              <w:t xml:space="preserve">, </w:t>
            </w:r>
            <w:r w:rsidRPr="0098722A">
              <w:rPr>
                <w:bCs/>
                <w:i/>
                <w:iCs/>
                <w:sz w:val="23"/>
                <w:szCs w:val="23"/>
              </w:rPr>
              <w:t>évaluation et rapports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0ACE" w14:textId="08D5846C" w:rsidR="00573AD6" w:rsidRPr="0098722A" w:rsidRDefault="006414C9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Expérience de l</w:t>
            </w:r>
            <w:r w:rsidR="00A63D59" w:rsidRPr="0098722A">
              <w:rPr>
                <w:sz w:val="23"/>
                <w:szCs w:val="23"/>
              </w:rPr>
              <w:t>’</w:t>
            </w:r>
            <w:r w:rsidRPr="0098722A">
              <w:rPr>
                <w:sz w:val="23"/>
                <w:szCs w:val="23"/>
              </w:rPr>
              <w:t>engagement de la direction avec le plan stratégique, de la surveillance de l</w:t>
            </w:r>
            <w:r w:rsidR="00A63D59" w:rsidRPr="0098722A">
              <w:rPr>
                <w:sz w:val="23"/>
                <w:szCs w:val="23"/>
              </w:rPr>
              <w:t>’</w:t>
            </w:r>
            <w:r w:rsidRPr="0098722A">
              <w:rPr>
                <w:sz w:val="23"/>
                <w:szCs w:val="23"/>
              </w:rPr>
              <w:t>évaluation et des rapports et de l</w:t>
            </w:r>
            <w:r w:rsidR="00A63D59" w:rsidRPr="0098722A">
              <w:rPr>
                <w:sz w:val="23"/>
                <w:szCs w:val="23"/>
              </w:rPr>
              <w:t>’</w:t>
            </w:r>
            <w:r w:rsidRPr="0098722A">
              <w:rPr>
                <w:sz w:val="23"/>
                <w:szCs w:val="23"/>
              </w:rPr>
              <w:t>identification des priorités stratégiques</w:t>
            </w:r>
            <w:r w:rsidR="006B65E6" w:rsidRPr="0098722A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11342335" w14:textId="77777777">
        <w:tblPrEx>
          <w:tblCellMar>
            <w:right w:w="105" w:type="dxa"/>
          </w:tblCellMar>
        </w:tblPrEx>
        <w:trPr>
          <w:trHeight w:val="51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12EE8F3" w14:textId="1FB3EC36" w:rsidR="00573AD6" w:rsidRPr="0098722A" w:rsidRDefault="006414C9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98722A">
              <w:rPr>
                <w:rFonts w:cstheme="minorHAnsi"/>
                <w:b/>
                <w:sz w:val="23"/>
                <w:szCs w:val="23"/>
              </w:rPr>
              <w:t>Ressources humaines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FAB7F02" w14:textId="48A64513" w:rsidR="00573AD6" w:rsidRPr="0098722A" w:rsidRDefault="0098722A">
            <w:pPr>
              <w:spacing w:after="0"/>
              <w:ind w:left="0" w:firstLine="0"/>
              <w:rPr>
                <w:sz w:val="23"/>
                <w:szCs w:val="23"/>
                <w:lang w:val="fr"/>
              </w:rPr>
            </w:pPr>
            <w:r>
              <w:rPr>
                <w:sz w:val="23"/>
                <w:szCs w:val="23"/>
                <w:lang w:val="fr"/>
              </w:rPr>
              <w:t>Direction d’</w:t>
            </w:r>
            <w:r w:rsidR="00773493" w:rsidRPr="0098722A">
              <w:rPr>
                <w:sz w:val="23"/>
                <w:szCs w:val="23"/>
                <w:lang w:val="fr"/>
              </w:rPr>
              <w:t xml:space="preserve">une fonction </w:t>
            </w:r>
            <w:r w:rsidR="00773493" w:rsidRPr="0098722A">
              <w:rPr>
                <w:sz w:val="23"/>
                <w:szCs w:val="23"/>
                <w:lang w:val="fr"/>
              </w:rPr>
              <w:t>de ressources humaines</w:t>
            </w:r>
            <w:r w:rsidR="00773493" w:rsidRPr="0098722A">
              <w:rPr>
                <w:sz w:val="23"/>
                <w:szCs w:val="23"/>
                <w:lang w:val="fr"/>
              </w:rPr>
              <w:t xml:space="preserve"> dans une organisation </w:t>
            </w:r>
            <w:r w:rsidR="005D4928" w:rsidRPr="0098722A">
              <w:rPr>
                <w:sz w:val="23"/>
                <w:szCs w:val="23"/>
                <w:lang w:val="fr"/>
              </w:rPr>
              <w:t>très complexe</w:t>
            </w:r>
            <w:r w:rsidR="006B65E6" w:rsidRPr="0098722A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5B8E8B9D" w14:textId="77777777">
        <w:tblPrEx>
          <w:tblCellMar>
            <w:right w:w="105" w:type="dxa"/>
          </w:tblCellMar>
        </w:tblPrEx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375391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D8D94B4" w14:textId="5DE98844" w:rsidR="00573AD6" w:rsidRPr="0098722A" w:rsidRDefault="000705EF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Acquisition et développement de talents dans une organisation</w:t>
            </w:r>
            <w:r w:rsidRPr="0098722A">
              <w:rPr>
                <w:sz w:val="23"/>
                <w:szCs w:val="23"/>
              </w:rPr>
              <w:t xml:space="preserve"> </w:t>
            </w:r>
            <w:r w:rsidR="00372CD9" w:rsidRPr="0098722A">
              <w:rPr>
                <w:sz w:val="23"/>
                <w:szCs w:val="23"/>
              </w:rPr>
              <w:t>très complexe</w:t>
            </w:r>
            <w:r w:rsidR="006B65E6" w:rsidRPr="0098722A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7088B852" w14:textId="77777777">
        <w:tblPrEx>
          <w:tblCellMar>
            <w:right w:w="105" w:type="dxa"/>
          </w:tblCellMar>
        </w:tblPrEx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EF828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5D2BC25" w14:textId="15FF6A58" w:rsidR="00573AD6" w:rsidRPr="0098722A" w:rsidRDefault="000705EF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Surveillance, création et gestion des programmes de rémunération et de récompense des cadres et de la haute direction</w:t>
            </w:r>
            <w:r w:rsidR="006B65E6" w:rsidRPr="0098722A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07B66512" w14:textId="77777777">
        <w:tblPrEx>
          <w:tblCellMar>
            <w:right w:w="105" w:type="dxa"/>
          </w:tblCellMar>
        </w:tblPrEx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1CAC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69CC821" w14:textId="2A3847C4" w:rsidR="00573AD6" w:rsidRPr="0098722A" w:rsidRDefault="000705EF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98722A">
              <w:rPr>
                <w:sz w:val="23"/>
                <w:szCs w:val="23"/>
              </w:rPr>
              <w:t>Désignation en ressources humaines (idéale)</w:t>
            </w:r>
            <w:r w:rsidRPr="0098722A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573AD6" w:rsidRPr="00A63D59" w14:paraId="7F9D6F15" w14:textId="77777777">
        <w:tblPrEx>
          <w:tblCellMar>
            <w:right w:w="105" w:type="dxa"/>
          </w:tblCellMar>
        </w:tblPrEx>
        <w:trPr>
          <w:trHeight w:val="132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1729" w14:textId="77777777" w:rsidR="00573AD6" w:rsidRPr="002951C2" w:rsidRDefault="006B65E6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2951C2">
              <w:rPr>
                <w:b/>
                <w:sz w:val="23"/>
                <w:szCs w:val="23"/>
              </w:rPr>
              <w:lastRenderedPageBreak/>
              <w:t xml:space="preserve">Communications </w:t>
            </w:r>
            <w:r w:rsidRPr="002951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85DE" w14:textId="26DED95B" w:rsidR="00573AD6" w:rsidRPr="002951C2" w:rsidRDefault="00E53C4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1C2">
              <w:rPr>
                <w:sz w:val="23"/>
                <w:szCs w:val="23"/>
              </w:rPr>
              <w:t>Communications avec les membres, les employés et les intervenants</w:t>
            </w:r>
            <w:r w:rsidR="006B65E6" w:rsidRPr="002951C2">
              <w:rPr>
                <w:sz w:val="23"/>
                <w:szCs w:val="23"/>
              </w:rPr>
              <w:t xml:space="preserve">. </w:t>
            </w:r>
          </w:p>
          <w:p w14:paraId="653D66CB" w14:textId="471E4989" w:rsidR="00573AD6" w:rsidRPr="002951C2" w:rsidRDefault="00173D84" w:rsidP="00173D84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2951C2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Pr="002951C2">
              <w:rPr>
                <w:i/>
                <w:sz w:val="21"/>
                <w:szCs w:val="21"/>
                <w:lang w:val="fr"/>
              </w:rPr>
              <w:t>participation directe à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la rédaction ou 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à 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l’approbation des communications aux membres, aux employés et aux </w:t>
            </w:r>
            <w:r w:rsidRPr="002951C2">
              <w:rPr>
                <w:i/>
                <w:sz w:val="21"/>
                <w:szCs w:val="21"/>
                <w:lang w:val="fr"/>
              </w:rPr>
              <w:t>intervenants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, en particulier sur des sujets plus </w:t>
            </w:r>
            <w:r w:rsidRPr="002951C2">
              <w:rPr>
                <w:i/>
                <w:sz w:val="21"/>
                <w:szCs w:val="21"/>
                <w:lang w:val="fr"/>
              </w:rPr>
              <w:t>délicats,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comme les compressions budgétaires, la communication de crise </w:t>
            </w:r>
            <w:r w:rsidRPr="002951C2">
              <w:rPr>
                <w:i/>
                <w:sz w:val="21"/>
                <w:szCs w:val="21"/>
                <w:lang w:val="fr"/>
              </w:rPr>
              <w:t>relativement à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de</w:t>
            </w:r>
            <w:r w:rsidRPr="002951C2">
              <w:rPr>
                <w:i/>
                <w:sz w:val="21"/>
                <w:szCs w:val="21"/>
                <w:lang w:val="fr"/>
              </w:rPr>
              <w:t>s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pertes importantes (humaines ou autres), la négociation syndicale ou 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avec une </w:t>
            </w:r>
            <w:r w:rsidRPr="002951C2">
              <w:rPr>
                <w:i/>
                <w:sz w:val="21"/>
                <w:szCs w:val="21"/>
                <w:lang w:val="fr"/>
              </w:rPr>
              <w:t>associati</w:t>
            </w:r>
            <w:r w:rsidRPr="002951C2">
              <w:rPr>
                <w:i/>
                <w:sz w:val="21"/>
                <w:szCs w:val="21"/>
                <w:lang w:val="fr"/>
              </w:rPr>
              <w:t>on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et d’autres communications</w:t>
            </w:r>
            <w:r w:rsidR="006B65E6" w:rsidRPr="002951C2">
              <w:rPr>
                <w:i/>
                <w:sz w:val="21"/>
                <w:szCs w:val="21"/>
              </w:rPr>
              <w:t xml:space="preserve">. </w:t>
            </w:r>
          </w:p>
        </w:tc>
      </w:tr>
      <w:tr w:rsidR="00573AD6" w:rsidRPr="00A63D59" w14:paraId="59021078" w14:textId="77777777">
        <w:tblPrEx>
          <w:tblCellMar>
            <w:right w:w="105" w:type="dxa"/>
          </w:tblCellMar>
        </w:tblPrEx>
        <w:trPr>
          <w:trHeight w:val="13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B63B3" w14:textId="77777777" w:rsidR="00573AD6" w:rsidRPr="002951C2" w:rsidRDefault="00573AD6">
            <w:pPr>
              <w:spacing w:after="16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CB999" w14:textId="3BA1C7F6" w:rsidR="00573AD6" w:rsidRPr="002951C2" w:rsidRDefault="00E53C4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1C2">
              <w:rPr>
                <w:sz w:val="23"/>
                <w:szCs w:val="23"/>
              </w:rPr>
              <w:t>Expérience et formation en ce qui concerne les médias ou capacité de parler en public à de grands auditoires</w:t>
            </w:r>
            <w:r w:rsidR="006B65E6" w:rsidRPr="002951C2">
              <w:rPr>
                <w:sz w:val="23"/>
                <w:szCs w:val="23"/>
              </w:rPr>
              <w:t xml:space="preserve">. </w:t>
            </w:r>
          </w:p>
          <w:p w14:paraId="6498E7D0" w14:textId="631D8A84" w:rsidR="00573AD6" w:rsidRPr="002951C2" w:rsidRDefault="00BA1273">
            <w:pPr>
              <w:spacing w:after="0"/>
              <w:ind w:left="0" w:firstLine="0"/>
              <w:rPr>
                <w:i/>
                <w:sz w:val="21"/>
                <w:szCs w:val="21"/>
                <w:lang w:val="fr"/>
              </w:rPr>
            </w:pPr>
            <w:r w:rsidRPr="002951C2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="00B55B39" w:rsidRPr="002951C2">
              <w:rPr>
                <w:i/>
                <w:sz w:val="21"/>
                <w:szCs w:val="21"/>
                <w:lang w:val="fr"/>
              </w:rPr>
              <w:t>avoir suivi une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formation </w:t>
            </w:r>
            <w:r w:rsidRPr="002951C2">
              <w:rPr>
                <w:i/>
                <w:sz w:val="21"/>
                <w:szCs w:val="21"/>
                <w:lang w:val="fr"/>
              </w:rPr>
              <w:t>médiatique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, s’engager auprès des médias nationaux et internationaux </w:t>
            </w:r>
            <w:r w:rsidR="00B55B39" w:rsidRPr="002951C2">
              <w:rPr>
                <w:i/>
                <w:sz w:val="21"/>
                <w:szCs w:val="21"/>
                <w:lang w:val="fr"/>
              </w:rPr>
              <w:t>à propos de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questions difficiles</w:t>
            </w:r>
            <w:r w:rsidR="00B55B39" w:rsidRPr="002951C2">
              <w:rPr>
                <w:i/>
                <w:sz w:val="21"/>
                <w:szCs w:val="21"/>
                <w:lang w:val="fr"/>
              </w:rPr>
              <w:t>,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tel</w:t>
            </w:r>
            <w:r w:rsidR="00372CD9" w:rsidRPr="002951C2">
              <w:rPr>
                <w:i/>
                <w:sz w:val="21"/>
                <w:szCs w:val="21"/>
                <w:lang w:val="fr"/>
              </w:rPr>
              <w:t>le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s que les actes répréhensibles potentiels (c.-à-d. </w:t>
            </w:r>
            <w:r w:rsidR="00DA7336" w:rsidRPr="002951C2">
              <w:rPr>
                <w:i/>
                <w:sz w:val="21"/>
                <w:szCs w:val="21"/>
                <w:lang w:val="fr"/>
              </w:rPr>
              <w:t>f</w:t>
            </w:r>
            <w:r w:rsidRPr="002951C2">
              <w:rPr>
                <w:i/>
                <w:sz w:val="21"/>
                <w:szCs w:val="21"/>
                <w:lang w:val="fr"/>
              </w:rPr>
              <w:t>raude, activité illégale)</w:t>
            </w:r>
            <w:r w:rsidR="00DA7336" w:rsidRPr="002951C2">
              <w:rPr>
                <w:i/>
                <w:sz w:val="21"/>
                <w:szCs w:val="21"/>
                <w:lang w:val="fr"/>
              </w:rPr>
              <w:t>,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blessures graves ou décès d’un intervenant ou d’un employé, grève ou </w:t>
            </w:r>
            <w:r w:rsidR="0090001D" w:rsidRPr="002951C2">
              <w:rPr>
                <w:i/>
                <w:sz w:val="21"/>
                <w:szCs w:val="21"/>
                <w:lang w:val="fr"/>
              </w:rPr>
              <w:t>activités syndicales</w:t>
            </w:r>
            <w:r w:rsidR="006B65E6" w:rsidRPr="002951C2">
              <w:rPr>
                <w:i/>
                <w:sz w:val="21"/>
                <w:szCs w:val="21"/>
              </w:rPr>
              <w:t xml:space="preserve">.  </w:t>
            </w:r>
          </w:p>
        </w:tc>
      </w:tr>
      <w:tr w:rsidR="00573AD6" w:rsidRPr="00A63D59" w14:paraId="13827C66" w14:textId="77777777">
        <w:tblPrEx>
          <w:tblCellMar>
            <w:right w:w="105" w:type="dxa"/>
          </w:tblCellMar>
        </w:tblPrEx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B9BD" w14:textId="77777777" w:rsidR="00573AD6" w:rsidRPr="002951C2" w:rsidRDefault="00573AD6">
            <w:pPr>
              <w:spacing w:after="16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61F2" w14:textId="19A1B88C" w:rsidR="00573AD6" w:rsidRPr="002951C2" w:rsidRDefault="00E53C4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1C2">
              <w:rPr>
                <w:sz w:val="23"/>
                <w:szCs w:val="23"/>
              </w:rPr>
              <w:t>Expérience en stratégie et transmission de communications de crise</w:t>
            </w:r>
            <w:r w:rsidR="006B65E6" w:rsidRPr="002951C2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70FDC9F1" w14:textId="77777777">
        <w:tblPrEx>
          <w:tblCellMar>
            <w:right w:w="105" w:type="dxa"/>
          </w:tblCellMar>
        </w:tblPrEx>
        <w:trPr>
          <w:trHeight w:val="1335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FEB15B9" w14:textId="4A930993" w:rsidR="00573AD6" w:rsidRPr="002951C2" w:rsidRDefault="00907AF5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2951C2">
              <w:rPr>
                <w:b/>
                <w:sz w:val="23"/>
                <w:szCs w:val="23"/>
              </w:rPr>
              <w:t>Membre de l</w:t>
            </w:r>
            <w:r w:rsidR="00A63D59" w:rsidRPr="002951C2">
              <w:rPr>
                <w:b/>
                <w:sz w:val="23"/>
                <w:szCs w:val="23"/>
              </w:rPr>
              <w:t>’</w:t>
            </w:r>
            <w:r w:rsidRPr="002951C2">
              <w:rPr>
                <w:b/>
                <w:sz w:val="23"/>
                <w:szCs w:val="23"/>
              </w:rPr>
              <w:t>équipe de haute performance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8AD0451" w14:textId="1CB74B47" w:rsidR="00573AD6" w:rsidRPr="002951C2" w:rsidRDefault="00555B98">
            <w:pPr>
              <w:spacing w:after="0" w:line="233" w:lineRule="auto"/>
              <w:ind w:left="0" w:firstLine="0"/>
              <w:rPr>
                <w:sz w:val="23"/>
                <w:szCs w:val="23"/>
              </w:rPr>
            </w:pPr>
            <w:r w:rsidRPr="002951C2">
              <w:rPr>
                <w:sz w:val="23"/>
                <w:szCs w:val="23"/>
              </w:rPr>
              <w:t>Compréhension de l</w:t>
            </w:r>
            <w:r w:rsidR="00A63D59" w:rsidRPr="002951C2">
              <w:rPr>
                <w:sz w:val="23"/>
                <w:szCs w:val="23"/>
              </w:rPr>
              <w:t>’</w:t>
            </w:r>
            <w:r w:rsidRPr="002951C2">
              <w:rPr>
                <w:sz w:val="23"/>
                <w:szCs w:val="23"/>
              </w:rPr>
              <w:t xml:space="preserve">expérience des athlètes </w:t>
            </w:r>
            <w:r w:rsidRPr="002951C2">
              <w:rPr>
                <w:sz w:val="23"/>
                <w:szCs w:val="23"/>
              </w:rPr>
              <w:t xml:space="preserve">de haute performance </w:t>
            </w:r>
            <w:r w:rsidRPr="002951C2">
              <w:rPr>
                <w:sz w:val="23"/>
                <w:szCs w:val="23"/>
              </w:rPr>
              <w:t>et représentation de ceux</w:t>
            </w:r>
            <w:r w:rsidRPr="002951C2">
              <w:rPr>
                <w:sz w:val="23"/>
                <w:szCs w:val="23"/>
              </w:rPr>
              <w:noBreakHyphen/>
              <w:t>ci auprès du conseil en tant qu</w:t>
            </w:r>
            <w:r w:rsidR="00A63D59" w:rsidRPr="002951C2">
              <w:rPr>
                <w:sz w:val="23"/>
                <w:szCs w:val="23"/>
              </w:rPr>
              <w:t>’</w:t>
            </w:r>
            <w:r w:rsidRPr="002951C2">
              <w:rPr>
                <w:sz w:val="23"/>
                <w:szCs w:val="23"/>
              </w:rPr>
              <w:t>athlète, entraîneur ou autre membre de soutien non actif de l</w:t>
            </w:r>
            <w:r w:rsidR="00A63D59" w:rsidRPr="002951C2">
              <w:rPr>
                <w:sz w:val="23"/>
                <w:szCs w:val="23"/>
              </w:rPr>
              <w:t>’</w:t>
            </w:r>
            <w:r w:rsidRPr="002951C2">
              <w:rPr>
                <w:sz w:val="23"/>
                <w:szCs w:val="23"/>
              </w:rPr>
              <w:t>équipe</w:t>
            </w:r>
            <w:r w:rsidR="006B65E6" w:rsidRPr="002951C2">
              <w:rPr>
                <w:sz w:val="23"/>
                <w:szCs w:val="23"/>
              </w:rPr>
              <w:t xml:space="preserve">. </w:t>
            </w:r>
          </w:p>
          <w:p w14:paraId="308B746A" w14:textId="09A06724" w:rsidR="00573AD6" w:rsidRPr="002951C2" w:rsidRDefault="006E7DA4" w:rsidP="005D1966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2951C2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="005D1966" w:rsidRPr="002951C2">
              <w:rPr>
                <w:i/>
                <w:sz w:val="21"/>
                <w:szCs w:val="21"/>
                <w:lang w:val="fr"/>
              </w:rPr>
              <w:t>entraîneur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au niveau international ou </w:t>
            </w:r>
            <w:r w:rsidR="005D1966" w:rsidRPr="002951C2">
              <w:rPr>
                <w:i/>
                <w:sz w:val="21"/>
                <w:szCs w:val="21"/>
                <w:lang w:val="fr"/>
              </w:rPr>
              <w:t>engagement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avec une équipe </w:t>
            </w:r>
            <w:r w:rsidR="005D1966" w:rsidRPr="002951C2">
              <w:rPr>
                <w:i/>
                <w:sz w:val="21"/>
                <w:szCs w:val="21"/>
                <w:lang w:val="fr"/>
              </w:rPr>
              <w:t>qui a connu du succès,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en tant que psychologue sportif</w:t>
            </w:r>
            <w:r w:rsidR="005D1966" w:rsidRPr="002951C2">
              <w:rPr>
                <w:i/>
                <w:sz w:val="21"/>
                <w:szCs w:val="21"/>
                <w:lang w:val="fr"/>
              </w:rPr>
              <w:t>,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</w:t>
            </w:r>
            <w:r w:rsidR="005D1966" w:rsidRPr="002951C2">
              <w:rPr>
                <w:i/>
                <w:sz w:val="21"/>
                <w:szCs w:val="21"/>
                <w:lang w:val="fr"/>
              </w:rPr>
              <w:t>à</w:t>
            </w:r>
            <w:r w:rsidRPr="002951C2">
              <w:rPr>
                <w:i/>
                <w:sz w:val="21"/>
                <w:szCs w:val="21"/>
                <w:lang w:val="fr"/>
              </w:rPr>
              <w:t xml:space="preserve"> plusieurs événements internationaux</w:t>
            </w:r>
            <w:r w:rsidR="006B65E6" w:rsidRPr="002951C2">
              <w:rPr>
                <w:i/>
                <w:sz w:val="21"/>
                <w:szCs w:val="21"/>
              </w:rPr>
              <w:t xml:space="preserve">. </w:t>
            </w:r>
          </w:p>
        </w:tc>
      </w:tr>
      <w:tr w:rsidR="00573AD6" w:rsidRPr="00A63D59" w14:paraId="1DA45896" w14:textId="77777777">
        <w:tblPrEx>
          <w:tblCellMar>
            <w:right w:w="105" w:type="dxa"/>
          </w:tblCellMar>
        </w:tblPrEx>
        <w:trPr>
          <w:trHeight w:val="1650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3390EAC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EF4BA85" w14:textId="3C2C4D98" w:rsidR="00573AD6" w:rsidRPr="007962D6" w:rsidRDefault="003F6693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 xml:space="preserve">Ancien athlète possédant une expérience pertinente en tant que curleur compétitif. </w:t>
            </w:r>
            <w:r w:rsidR="00A02622" w:rsidRPr="007962D6">
              <w:rPr>
                <w:sz w:val="23"/>
                <w:szCs w:val="23"/>
              </w:rPr>
              <w:t>Exemple : a</w:t>
            </w:r>
            <w:r w:rsidRPr="007962D6">
              <w:rPr>
                <w:sz w:val="23"/>
                <w:szCs w:val="23"/>
              </w:rPr>
              <w:t xml:space="preserve">voir idéalement représenté le Canada à un championnat du monde, aux </w:t>
            </w:r>
            <w:proofErr w:type="spellStart"/>
            <w:r w:rsidRPr="007962D6">
              <w:rPr>
                <w:sz w:val="23"/>
                <w:szCs w:val="23"/>
              </w:rPr>
              <w:t>Scotties</w:t>
            </w:r>
            <w:proofErr w:type="spellEnd"/>
            <w:r w:rsidRPr="007962D6">
              <w:rPr>
                <w:sz w:val="23"/>
                <w:szCs w:val="23"/>
              </w:rPr>
              <w:t xml:space="preserve">, au Brier ou à des essais olympiques ou avoir concouru avec une équipe qui a remporté une Coupe Canada, qui a terminé sur le podium au Brier ou aux </w:t>
            </w:r>
            <w:proofErr w:type="spellStart"/>
            <w:r w:rsidRPr="007962D6">
              <w:rPr>
                <w:sz w:val="23"/>
                <w:szCs w:val="23"/>
              </w:rPr>
              <w:t>Scotties</w:t>
            </w:r>
            <w:proofErr w:type="spellEnd"/>
            <w:r w:rsidRPr="007962D6">
              <w:rPr>
                <w:sz w:val="23"/>
                <w:szCs w:val="23"/>
              </w:rPr>
              <w:t xml:space="preserve"> ou qui a concouru avec une équipe qui s</w:t>
            </w:r>
            <w:r w:rsidR="00A63D59" w:rsidRPr="007962D6">
              <w:rPr>
                <w:sz w:val="23"/>
                <w:szCs w:val="23"/>
              </w:rPr>
              <w:t>’</w:t>
            </w:r>
            <w:r w:rsidRPr="007962D6">
              <w:rPr>
                <w:sz w:val="23"/>
                <w:szCs w:val="23"/>
              </w:rPr>
              <w:t>est classée parmi les cinq premières, selon le système de classement CTRS, ou qui a participé aux Jeux paralympiques ou aux championnats doubles mixtes, au niveau mondial ou olympique</w:t>
            </w:r>
            <w:r w:rsidR="006B65E6" w:rsidRPr="007962D6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019656AF" w14:textId="77777777">
        <w:tblPrEx>
          <w:tblCellMar>
            <w:right w:w="105" w:type="dxa"/>
          </w:tblCellMar>
        </w:tblPrEx>
        <w:trPr>
          <w:trHeight w:val="78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24EB" w14:textId="7245D0EF" w:rsidR="00573AD6" w:rsidRPr="007962D6" w:rsidRDefault="006B65E6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7962D6">
              <w:rPr>
                <w:b/>
                <w:sz w:val="23"/>
                <w:szCs w:val="23"/>
              </w:rPr>
              <w:t>Marketing/</w:t>
            </w:r>
            <w:r w:rsidR="00413890" w:rsidRPr="007962D6">
              <w:rPr>
                <w:b/>
                <w:sz w:val="23"/>
                <w:szCs w:val="23"/>
              </w:rPr>
              <w:t>marque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02E93" w14:textId="29EBCC6F" w:rsidR="00573AD6" w:rsidRPr="007962D6" w:rsidRDefault="0041389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>Expérience avec les pratiques exemplaires liées à la marque et la culture</w:t>
            </w:r>
            <w:r w:rsidR="006B65E6" w:rsidRPr="007962D6">
              <w:rPr>
                <w:sz w:val="23"/>
                <w:szCs w:val="23"/>
              </w:rPr>
              <w:t xml:space="preserve">.  </w:t>
            </w:r>
          </w:p>
          <w:p w14:paraId="3A87AA20" w14:textId="16294A50" w:rsidR="00573AD6" w:rsidRPr="007962D6" w:rsidRDefault="007F6E64" w:rsidP="007F6E64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7962D6">
              <w:rPr>
                <w:i/>
                <w:sz w:val="21"/>
                <w:szCs w:val="21"/>
                <w:lang w:val="fr"/>
              </w:rPr>
              <w:t>Exemples précis : dir</w:t>
            </w:r>
            <w:r w:rsidRPr="007962D6">
              <w:rPr>
                <w:i/>
                <w:sz w:val="21"/>
                <w:szCs w:val="21"/>
                <w:lang w:val="fr"/>
              </w:rPr>
              <w:t>ection de telles pratiques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ou responsabilité opérationnelle de la surveillance de </w:t>
            </w:r>
            <w:r w:rsidRPr="007962D6">
              <w:rPr>
                <w:i/>
                <w:sz w:val="21"/>
                <w:szCs w:val="21"/>
                <w:lang w:val="fr"/>
              </w:rPr>
              <w:t>telles pratiques</w:t>
            </w:r>
            <w:r w:rsidR="006B65E6" w:rsidRPr="007962D6">
              <w:rPr>
                <w:i/>
                <w:sz w:val="21"/>
                <w:szCs w:val="21"/>
              </w:rPr>
              <w:t xml:space="preserve">. </w:t>
            </w:r>
          </w:p>
        </w:tc>
      </w:tr>
      <w:tr w:rsidR="00573AD6" w:rsidRPr="00A63D59" w14:paraId="5741171E" w14:textId="77777777">
        <w:tblPrEx>
          <w:tblCellMar>
            <w:right w:w="105" w:type="dxa"/>
          </w:tblCellMar>
        </w:tblPrEx>
        <w:trPr>
          <w:trHeight w:val="7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2EDE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FCCD" w14:textId="2568729C" w:rsidR="00573AD6" w:rsidRPr="007962D6" w:rsidRDefault="004125CD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>Compréhension et expérience en ce qui concerne divers modèles de prestation et des pratiques exemplaires relativement aux expériences des clients</w:t>
            </w:r>
            <w:r w:rsidR="006B65E6" w:rsidRPr="007962D6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69733FC5" w14:textId="77777777">
        <w:tblPrEx>
          <w:tblCellMar>
            <w:right w:w="105" w:type="dxa"/>
          </w:tblCellMar>
        </w:tblPrEx>
        <w:trPr>
          <w:trHeight w:val="797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720C126" w14:textId="54739194" w:rsidR="00573AD6" w:rsidRPr="007962D6" w:rsidRDefault="003E09FF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7962D6">
              <w:rPr>
                <w:b/>
                <w:sz w:val="23"/>
                <w:szCs w:val="23"/>
              </w:rPr>
              <w:lastRenderedPageBreak/>
              <w:t>Diversité, équité et inclusion</w:t>
            </w:r>
            <w:r w:rsidR="006B65E6" w:rsidRPr="007962D6">
              <w:rPr>
                <w:b/>
                <w:sz w:val="23"/>
                <w:szCs w:val="23"/>
              </w:rPr>
              <w:t xml:space="preserve"> </w:t>
            </w:r>
            <w:r w:rsidR="006B65E6" w:rsidRPr="007962D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E9EB42F" w14:textId="25B37834" w:rsidR="00573AD6" w:rsidRPr="007962D6" w:rsidRDefault="00DB195E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bCs/>
                <w:sz w:val="23"/>
                <w:szCs w:val="23"/>
              </w:rPr>
              <w:t>Personnes qui s</w:t>
            </w:r>
            <w:r w:rsidR="00A63D59" w:rsidRPr="007962D6">
              <w:rPr>
                <w:bCs/>
                <w:sz w:val="23"/>
                <w:szCs w:val="23"/>
              </w:rPr>
              <w:t>’</w:t>
            </w:r>
            <w:r w:rsidRPr="007962D6">
              <w:rPr>
                <w:bCs/>
                <w:sz w:val="23"/>
                <w:szCs w:val="23"/>
              </w:rPr>
              <w:t>identifient comme des personnes handicapées, racialisées, en tant que LGBTQ2SI</w:t>
            </w:r>
            <w:r w:rsidRPr="007962D6">
              <w:rPr>
                <w:bCs/>
                <w:sz w:val="23"/>
                <w:szCs w:val="23"/>
              </w:rPr>
              <w:t xml:space="preserve"> ou</w:t>
            </w:r>
            <w:r w:rsidRPr="007962D6">
              <w:rPr>
                <w:bCs/>
                <w:sz w:val="23"/>
                <w:szCs w:val="23"/>
              </w:rPr>
              <w:t xml:space="preserve"> non binaires</w:t>
            </w:r>
            <w:r w:rsidR="006B65E6" w:rsidRPr="007962D6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74E43F6E" w14:textId="77777777">
        <w:tblPrEx>
          <w:tblCellMar>
            <w:right w:w="105" w:type="dxa"/>
          </w:tblCellMar>
        </w:tblPrEx>
        <w:trPr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5A76" w14:textId="77777777" w:rsidR="00573AD6" w:rsidRPr="007962D6" w:rsidRDefault="00573AD6">
            <w:pPr>
              <w:spacing w:after="16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93517F1" w14:textId="142A4E97" w:rsidR="00573AD6" w:rsidRPr="007962D6" w:rsidRDefault="00DB195E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>Personnes</w:t>
            </w:r>
            <w:r w:rsidRPr="007962D6">
              <w:rPr>
                <w:bCs/>
                <w:sz w:val="23"/>
                <w:szCs w:val="23"/>
              </w:rPr>
              <w:t xml:space="preserve"> autochtones</w:t>
            </w:r>
            <w:r w:rsidR="006B65E6" w:rsidRPr="007962D6">
              <w:rPr>
                <w:sz w:val="23"/>
                <w:szCs w:val="23"/>
              </w:rPr>
              <w:t xml:space="preserve">.  </w:t>
            </w:r>
          </w:p>
        </w:tc>
      </w:tr>
      <w:tr w:rsidR="00573AD6" w:rsidRPr="00A63D59" w14:paraId="2BB63FBF" w14:textId="77777777">
        <w:tblPrEx>
          <w:tblCellMar>
            <w:right w:w="105" w:type="dxa"/>
          </w:tblCellMar>
        </w:tblPrEx>
        <w:trPr>
          <w:trHeight w:val="1052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58B7" w14:textId="158816B3" w:rsidR="00573AD6" w:rsidRPr="007962D6" w:rsidRDefault="006B65E6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7962D6">
              <w:rPr>
                <w:b/>
                <w:sz w:val="23"/>
                <w:szCs w:val="23"/>
              </w:rPr>
              <w:t>Go</w:t>
            </w:r>
            <w:r w:rsidR="00AE1E8F" w:rsidRPr="007962D6">
              <w:rPr>
                <w:b/>
                <w:sz w:val="23"/>
                <w:szCs w:val="23"/>
              </w:rPr>
              <w:t>u</w:t>
            </w:r>
            <w:r w:rsidRPr="007962D6">
              <w:rPr>
                <w:b/>
                <w:sz w:val="23"/>
                <w:szCs w:val="23"/>
              </w:rPr>
              <w:t xml:space="preserve">vernance </w:t>
            </w:r>
            <w:r w:rsidRPr="007962D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6B21" w14:textId="209EE4D8" w:rsidR="00573AD6" w:rsidRPr="007962D6" w:rsidRDefault="00AE1E8F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>Titre d</w:t>
            </w:r>
            <w:r w:rsidR="00A63D59" w:rsidRPr="007962D6">
              <w:rPr>
                <w:sz w:val="23"/>
                <w:szCs w:val="23"/>
              </w:rPr>
              <w:t>’</w:t>
            </w:r>
            <w:r w:rsidRPr="007962D6">
              <w:rPr>
                <w:sz w:val="23"/>
                <w:szCs w:val="23"/>
              </w:rPr>
              <w:t>administrateur ou expérience antérieure dans un conseil</w:t>
            </w:r>
            <w:r w:rsidRPr="007962D6">
              <w:rPr>
                <w:sz w:val="23"/>
                <w:szCs w:val="23"/>
              </w:rPr>
              <w:t>.</w:t>
            </w:r>
          </w:p>
          <w:p w14:paraId="55049433" w14:textId="4407E408" w:rsidR="00573AD6" w:rsidRPr="007962D6" w:rsidRDefault="003E3A7C">
            <w:pPr>
              <w:spacing w:after="0"/>
              <w:ind w:left="0" w:firstLine="0"/>
              <w:rPr>
                <w:i/>
                <w:sz w:val="21"/>
                <w:szCs w:val="21"/>
                <w:lang w:val="fr"/>
              </w:rPr>
            </w:pPr>
            <w:r w:rsidRPr="007962D6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Pr="007962D6">
              <w:rPr>
                <w:i/>
                <w:sz w:val="21"/>
                <w:szCs w:val="21"/>
                <w:lang w:val="fr"/>
              </w:rPr>
              <w:t>e</w:t>
            </w:r>
            <w:r w:rsidRPr="007962D6">
              <w:rPr>
                <w:i/>
                <w:sz w:val="21"/>
                <w:szCs w:val="21"/>
                <w:lang w:val="fr"/>
              </w:rPr>
              <w:t>xpérience d</w:t>
            </w:r>
            <w:r w:rsidRPr="007962D6">
              <w:rPr>
                <w:i/>
                <w:sz w:val="21"/>
                <w:szCs w:val="21"/>
                <w:lang w:val="fr"/>
              </w:rPr>
              <w:t>ans un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conseil</w:t>
            </w:r>
            <w:r w:rsidRPr="007962D6">
              <w:rPr>
                <w:i/>
                <w:sz w:val="21"/>
                <w:szCs w:val="21"/>
                <w:lang w:val="fr"/>
              </w:rPr>
              <w:t>,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en tant que gouverneur, dirigeant ou administrateur d’une organisation </w:t>
            </w:r>
            <w:r w:rsidR="002C4255" w:rsidRPr="007962D6">
              <w:rPr>
                <w:i/>
                <w:sz w:val="21"/>
                <w:szCs w:val="21"/>
                <w:lang w:val="fr"/>
              </w:rPr>
              <w:t>de plus grande complexité</w:t>
            </w:r>
            <w:r w:rsidR="006B65E6" w:rsidRPr="007962D6">
              <w:rPr>
                <w:i/>
                <w:sz w:val="21"/>
                <w:szCs w:val="21"/>
              </w:rPr>
              <w:t xml:space="preserve">.  </w:t>
            </w:r>
          </w:p>
        </w:tc>
      </w:tr>
      <w:tr w:rsidR="00573AD6" w:rsidRPr="00A63D59" w14:paraId="3CA10057" w14:textId="77777777">
        <w:tblPrEx>
          <w:tblCellMar>
            <w:right w:w="105" w:type="dxa"/>
          </w:tblCellMar>
        </w:tblPrEx>
        <w:trPr>
          <w:trHeight w:val="7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465A" w14:textId="77777777" w:rsidR="00573AD6" w:rsidRPr="007962D6" w:rsidRDefault="00573AD6">
            <w:pPr>
              <w:spacing w:after="16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9480" w14:textId="0B036989" w:rsidR="00573AD6" w:rsidRPr="007962D6" w:rsidRDefault="00411950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 xml:space="preserve">Expérience en rédaction, révision et mise en œuvre de politiques et de procédures </w:t>
            </w:r>
            <w:r w:rsidR="006B65E6" w:rsidRPr="007962D6">
              <w:rPr>
                <w:sz w:val="23"/>
                <w:szCs w:val="23"/>
              </w:rPr>
              <w:t>diverse</w:t>
            </w:r>
            <w:r w:rsidR="00F9482A" w:rsidRPr="007962D6">
              <w:rPr>
                <w:sz w:val="23"/>
                <w:szCs w:val="23"/>
              </w:rPr>
              <w:t>s et</w:t>
            </w:r>
            <w:r w:rsidR="006B65E6" w:rsidRPr="007962D6">
              <w:rPr>
                <w:sz w:val="23"/>
                <w:szCs w:val="23"/>
              </w:rPr>
              <w:t xml:space="preserve"> inter</w:t>
            </w:r>
            <w:r w:rsidR="00F9482A" w:rsidRPr="007962D6">
              <w:rPr>
                <w:sz w:val="23"/>
                <w:szCs w:val="23"/>
              </w:rPr>
              <w:t>reliées</w:t>
            </w:r>
            <w:r w:rsidR="006B65E6" w:rsidRPr="007962D6">
              <w:rPr>
                <w:sz w:val="23"/>
                <w:szCs w:val="23"/>
              </w:rPr>
              <w:t xml:space="preserve">. </w:t>
            </w:r>
          </w:p>
        </w:tc>
      </w:tr>
      <w:tr w:rsidR="00573AD6" w:rsidRPr="00A63D59" w14:paraId="2B864D03" w14:textId="77777777">
        <w:tblPrEx>
          <w:tblCellMar>
            <w:right w:w="105" w:type="dxa"/>
          </w:tblCellMar>
        </w:tblPrEx>
        <w:trPr>
          <w:trHeight w:val="1067"/>
        </w:trPr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796DD9B" w14:textId="09851270" w:rsidR="00573AD6" w:rsidRPr="007962D6" w:rsidRDefault="001E305B">
            <w:pPr>
              <w:spacing w:after="0"/>
              <w:ind w:left="2" w:firstLine="0"/>
              <w:rPr>
                <w:sz w:val="23"/>
                <w:szCs w:val="23"/>
              </w:rPr>
            </w:pPr>
            <w:r w:rsidRPr="007962D6">
              <w:rPr>
                <w:b/>
                <w:sz w:val="23"/>
                <w:szCs w:val="23"/>
              </w:rPr>
              <w:t>R</w:t>
            </w:r>
            <w:r w:rsidRPr="007962D6">
              <w:rPr>
                <w:b/>
                <w:sz w:val="23"/>
                <w:szCs w:val="23"/>
              </w:rPr>
              <w:t>elations avec les intervenants</w:t>
            </w: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1C0282C" w14:textId="1A5DCB7B" w:rsidR="00573AD6" w:rsidRPr="007962D6" w:rsidRDefault="008C616C">
            <w:pPr>
              <w:spacing w:after="0" w:line="233" w:lineRule="auto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</w:rPr>
              <w:t>Capacité manifeste de faciliter de bonnes interactions et relations et de faire communiquer des messages dans un environnement diversifié comptant de multiples intervenants</w:t>
            </w:r>
            <w:r w:rsidR="00F9482A" w:rsidRPr="007962D6">
              <w:rPr>
                <w:sz w:val="23"/>
                <w:szCs w:val="23"/>
              </w:rPr>
              <w:t>, particulier au</w:t>
            </w:r>
            <w:r w:rsidR="006B65E6" w:rsidRPr="007962D6">
              <w:rPr>
                <w:sz w:val="23"/>
                <w:szCs w:val="23"/>
              </w:rPr>
              <w:t xml:space="preserve"> sport </w:t>
            </w:r>
            <w:r w:rsidR="0019526D" w:rsidRPr="007962D6">
              <w:rPr>
                <w:sz w:val="23"/>
                <w:szCs w:val="23"/>
              </w:rPr>
              <w:t>du</w:t>
            </w:r>
            <w:r w:rsidR="006B65E6" w:rsidRPr="007962D6">
              <w:rPr>
                <w:sz w:val="23"/>
                <w:szCs w:val="23"/>
              </w:rPr>
              <w:t xml:space="preserve"> curling. </w:t>
            </w:r>
          </w:p>
          <w:p w14:paraId="03D207EA" w14:textId="110540E3" w:rsidR="00573AD6" w:rsidRPr="007962D6" w:rsidRDefault="00F9482A">
            <w:pPr>
              <w:spacing w:after="0"/>
              <w:ind w:left="0" w:firstLine="0"/>
              <w:rPr>
                <w:i/>
                <w:sz w:val="21"/>
                <w:szCs w:val="21"/>
                <w:lang w:val="fr"/>
              </w:rPr>
            </w:pPr>
            <w:r w:rsidRPr="007962D6">
              <w:rPr>
                <w:i/>
                <w:sz w:val="21"/>
                <w:szCs w:val="21"/>
                <w:lang w:val="fr"/>
              </w:rPr>
              <w:t xml:space="preserve">Exemples précis : </w:t>
            </w:r>
            <w:r w:rsidRPr="007962D6">
              <w:rPr>
                <w:i/>
                <w:sz w:val="21"/>
                <w:szCs w:val="21"/>
                <w:lang w:val="fr"/>
              </w:rPr>
              <w:t>avoir été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membre d</w:t>
            </w:r>
            <w:r w:rsidRPr="007962D6">
              <w:rPr>
                <w:i/>
                <w:sz w:val="21"/>
                <w:szCs w:val="21"/>
                <w:lang w:val="fr"/>
              </w:rPr>
              <w:t>u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conseil d’administration </w:t>
            </w:r>
            <w:r w:rsidRPr="007962D6">
              <w:rPr>
                <w:i/>
                <w:sz w:val="21"/>
                <w:szCs w:val="21"/>
                <w:lang w:val="fr"/>
              </w:rPr>
              <w:t>d’une a</w:t>
            </w:r>
            <w:r w:rsidRPr="007962D6">
              <w:rPr>
                <w:i/>
                <w:sz w:val="21"/>
                <w:szCs w:val="21"/>
                <w:lang w:val="fr"/>
              </w:rPr>
              <w:t>ssociation membre.</w:t>
            </w:r>
          </w:p>
        </w:tc>
      </w:tr>
      <w:tr w:rsidR="00573AD6" w:rsidRPr="00A63D59" w14:paraId="25BA53C2" w14:textId="77777777">
        <w:tblPrEx>
          <w:tblCellMar>
            <w:right w:w="105" w:type="dxa"/>
          </w:tblCellMar>
        </w:tblPrEx>
        <w:trPr>
          <w:trHeight w:val="10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DFC" w14:textId="77777777" w:rsidR="00573AD6" w:rsidRPr="00A63D59" w:rsidRDefault="00573AD6">
            <w:pPr>
              <w:spacing w:after="160"/>
              <w:ind w:left="0" w:firstLine="0"/>
            </w:pPr>
          </w:p>
        </w:tc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7B49447" w14:textId="0BE5D803" w:rsidR="002F0F52" w:rsidRPr="007962D6" w:rsidRDefault="002F0F52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7962D6">
              <w:rPr>
                <w:sz w:val="23"/>
                <w:szCs w:val="23"/>
                <w:lang w:val="fr"/>
              </w:rPr>
              <w:t xml:space="preserve">Expérience </w:t>
            </w:r>
            <w:r w:rsidRPr="007962D6">
              <w:rPr>
                <w:sz w:val="23"/>
                <w:szCs w:val="23"/>
                <w:lang w:val="fr"/>
              </w:rPr>
              <w:t>manifeste</w:t>
            </w:r>
            <w:r w:rsidRPr="007962D6">
              <w:rPr>
                <w:sz w:val="23"/>
                <w:szCs w:val="23"/>
                <w:lang w:val="fr"/>
              </w:rPr>
              <w:t xml:space="preserve"> au niveau développemental et communautaire du curling</w:t>
            </w:r>
            <w:r w:rsidRPr="007962D6">
              <w:rPr>
                <w:sz w:val="23"/>
                <w:szCs w:val="23"/>
              </w:rPr>
              <w:t xml:space="preserve"> </w:t>
            </w:r>
          </w:p>
          <w:p w14:paraId="04435256" w14:textId="53A111CB" w:rsidR="00573AD6" w:rsidRPr="007962D6" w:rsidRDefault="002F0F52" w:rsidP="002F0F52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7962D6">
              <w:rPr>
                <w:i/>
                <w:sz w:val="21"/>
                <w:szCs w:val="21"/>
                <w:lang w:val="fr"/>
              </w:rPr>
              <w:t>Exemples précis : membre du conseil d’administration d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’une 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association membre, </w:t>
            </w:r>
            <w:r w:rsidRPr="007962D6">
              <w:rPr>
                <w:i/>
                <w:sz w:val="21"/>
                <w:szCs w:val="21"/>
                <w:lang w:val="fr"/>
              </w:rPr>
              <w:t>gestionnaire d’un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club, engagement direct avec les programmes juniors </w:t>
            </w:r>
            <w:r w:rsidRPr="007962D6">
              <w:rPr>
                <w:i/>
                <w:sz w:val="21"/>
                <w:szCs w:val="21"/>
                <w:lang w:val="fr"/>
              </w:rPr>
              <w:t>ou d’apprentissage du</w:t>
            </w:r>
            <w:r w:rsidRPr="007962D6">
              <w:rPr>
                <w:i/>
                <w:sz w:val="21"/>
                <w:szCs w:val="21"/>
                <w:lang w:val="fr"/>
              </w:rPr>
              <w:t xml:space="preserve"> curl</w:t>
            </w:r>
            <w:r w:rsidRPr="007962D6">
              <w:rPr>
                <w:i/>
                <w:sz w:val="21"/>
                <w:szCs w:val="21"/>
                <w:lang w:val="fr"/>
              </w:rPr>
              <w:t>ing</w:t>
            </w:r>
            <w:r w:rsidR="006B65E6" w:rsidRPr="007962D6">
              <w:rPr>
                <w:i/>
                <w:sz w:val="21"/>
                <w:szCs w:val="21"/>
              </w:rPr>
              <w:t xml:space="preserve">. </w:t>
            </w:r>
          </w:p>
        </w:tc>
      </w:tr>
    </w:tbl>
    <w:p w14:paraId="782BFAE3" w14:textId="77777777" w:rsidR="00573AD6" w:rsidRPr="00A63D59" w:rsidRDefault="006B65E6">
      <w:pPr>
        <w:spacing w:after="0"/>
        <w:ind w:left="0" w:firstLine="0"/>
        <w:jc w:val="both"/>
      </w:pPr>
      <w:r w:rsidRPr="00A63D59">
        <w:t xml:space="preserve"> </w:t>
      </w:r>
    </w:p>
    <w:sectPr w:rsidR="00573AD6" w:rsidRPr="00A63D59">
      <w:type w:val="continuous"/>
      <w:pgSz w:w="15840" w:h="12240" w:orient="landscape"/>
      <w:pgMar w:top="1440" w:right="1139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F496" w14:textId="77777777" w:rsidR="006C3158" w:rsidRDefault="006C3158">
      <w:pPr>
        <w:spacing w:after="0" w:line="240" w:lineRule="auto"/>
      </w:pPr>
      <w:r>
        <w:separator/>
      </w:r>
    </w:p>
  </w:endnote>
  <w:endnote w:type="continuationSeparator" w:id="0">
    <w:p w14:paraId="54F50D25" w14:textId="77777777" w:rsidR="006C3158" w:rsidRDefault="006C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00D9" w14:textId="77777777" w:rsidR="00573AD6" w:rsidRDefault="006B65E6">
    <w:pPr>
      <w:spacing w:after="0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47E887B" w14:textId="77777777" w:rsidR="00573AD6" w:rsidRDefault="006B65E6">
    <w:pPr>
      <w:spacing w:after="0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8CC8" w14:textId="77777777" w:rsidR="00573AD6" w:rsidRDefault="006B65E6">
    <w:pPr>
      <w:spacing w:after="0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CFCAFFF" w14:textId="77777777" w:rsidR="00573AD6" w:rsidRDefault="006B65E6">
    <w:pPr>
      <w:spacing w:after="0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B0C2" w14:textId="77777777" w:rsidR="00573AD6" w:rsidRDefault="006B65E6">
    <w:pPr>
      <w:spacing w:after="0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4BDFEB5" w14:textId="77777777" w:rsidR="00573AD6" w:rsidRDefault="006B65E6">
    <w:pPr>
      <w:spacing w:after="0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71B3" w14:textId="77777777" w:rsidR="006C3158" w:rsidRDefault="006C3158">
      <w:pPr>
        <w:spacing w:after="0" w:line="240" w:lineRule="auto"/>
      </w:pPr>
      <w:r>
        <w:separator/>
      </w:r>
    </w:p>
  </w:footnote>
  <w:footnote w:type="continuationSeparator" w:id="0">
    <w:p w14:paraId="5133450E" w14:textId="77777777" w:rsidR="006C3158" w:rsidRDefault="006C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E223" w14:textId="77777777" w:rsidR="00573AD6" w:rsidRDefault="006B65E6">
    <w:pPr>
      <w:spacing w:after="0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57209" wp14:editId="56948A9A">
          <wp:simplePos x="0" y="0"/>
          <wp:positionH relativeFrom="page">
            <wp:posOffset>7505700</wp:posOffset>
          </wp:positionH>
          <wp:positionV relativeFrom="page">
            <wp:posOffset>190500</wp:posOffset>
          </wp:positionV>
          <wp:extent cx="1908048" cy="938784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0" name="Picture 3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5AFF" w14:textId="77777777" w:rsidR="00573AD6" w:rsidRDefault="006B65E6">
    <w:pPr>
      <w:spacing w:after="0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960CCA" wp14:editId="667568DD">
          <wp:simplePos x="0" y="0"/>
          <wp:positionH relativeFrom="page">
            <wp:posOffset>7505700</wp:posOffset>
          </wp:positionH>
          <wp:positionV relativeFrom="page">
            <wp:posOffset>190500</wp:posOffset>
          </wp:positionV>
          <wp:extent cx="1908048" cy="938784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0" name="Picture 3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9766" w14:textId="77777777" w:rsidR="00573AD6" w:rsidRDefault="006B65E6">
    <w:pPr>
      <w:spacing w:after="0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44CB10" wp14:editId="072F0A6B">
          <wp:simplePos x="0" y="0"/>
          <wp:positionH relativeFrom="page">
            <wp:posOffset>7505700</wp:posOffset>
          </wp:positionH>
          <wp:positionV relativeFrom="page">
            <wp:posOffset>190500</wp:posOffset>
          </wp:positionV>
          <wp:extent cx="1908048" cy="938784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0" name="Picture 3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30BC9"/>
    <w:multiLevelType w:val="hybridMultilevel"/>
    <w:tmpl w:val="C22E0B46"/>
    <w:lvl w:ilvl="0" w:tplc="C5C818F6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2672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38F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E195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EC1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85A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E634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2D7F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89F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D6"/>
    <w:rsid w:val="00045E5B"/>
    <w:rsid w:val="00061EDC"/>
    <w:rsid w:val="00066494"/>
    <w:rsid w:val="000705EF"/>
    <w:rsid w:val="00173D84"/>
    <w:rsid w:val="0019526D"/>
    <w:rsid w:val="001D1050"/>
    <w:rsid w:val="001E305B"/>
    <w:rsid w:val="002117EA"/>
    <w:rsid w:val="0021374D"/>
    <w:rsid w:val="0023261A"/>
    <w:rsid w:val="00243351"/>
    <w:rsid w:val="00254D59"/>
    <w:rsid w:val="00284C56"/>
    <w:rsid w:val="002951C2"/>
    <w:rsid w:val="002C4255"/>
    <w:rsid w:val="002D1E91"/>
    <w:rsid w:val="002F0F52"/>
    <w:rsid w:val="00372CD9"/>
    <w:rsid w:val="003E09FF"/>
    <w:rsid w:val="003E3A7C"/>
    <w:rsid w:val="003F6693"/>
    <w:rsid w:val="00411950"/>
    <w:rsid w:val="004125CD"/>
    <w:rsid w:val="00413890"/>
    <w:rsid w:val="004C3D51"/>
    <w:rsid w:val="00536613"/>
    <w:rsid w:val="00555B98"/>
    <w:rsid w:val="0056263C"/>
    <w:rsid w:val="00573AD6"/>
    <w:rsid w:val="00590D2A"/>
    <w:rsid w:val="005D1966"/>
    <w:rsid w:val="005D4928"/>
    <w:rsid w:val="005F7966"/>
    <w:rsid w:val="00621961"/>
    <w:rsid w:val="006414C9"/>
    <w:rsid w:val="006A1A76"/>
    <w:rsid w:val="006B65E6"/>
    <w:rsid w:val="006C3158"/>
    <w:rsid w:val="006C7048"/>
    <w:rsid w:val="006D65FA"/>
    <w:rsid w:val="006E7DA4"/>
    <w:rsid w:val="006F2E19"/>
    <w:rsid w:val="00731C5C"/>
    <w:rsid w:val="00773493"/>
    <w:rsid w:val="00794B05"/>
    <w:rsid w:val="007962D6"/>
    <w:rsid w:val="007A6A34"/>
    <w:rsid w:val="007F6E64"/>
    <w:rsid w:val="008C616C"/>
    <w:rsid w:val="008E6EFE"/>
    <w:rsid w:val="0090001D"/>
    <w:rsid w:val="00907AF5"/>
    <w:rsid w:val="009157B7"/>
    <w:rsid w:val="0095256F"/>
    <w:rsid w:val="0098722A"/>
    <w:rsid w:val="00A02622"/>
    <w:rsid w:val="00A066D2"/>
    <w:rsid w:val="00A31E03"/>
    <w:rsid w:val="00A63D59"/>
    <w:rsid w:val="00A668E9"/>
    <w:rsid w:val="00AA26CF"/>
    <w:rsid w:val="00AE1E8F"/>
    <w:rsid w:val="00AF266E"/>
    <w:rsid w:val="00B002B5"/>
    <w:rsid w:val="00B23F7A"/>
    <w:rsid w:val="00B55B39"/>
    <w:rsid w:val="00B57BF2"/>
    <w:rsid w:val="00B82359"/>
    <w:rsid w:val="00BA1273"/>
    <w:rsid w:val="00BE0827"/>
    <w:rsid w:val="00C91BE6"/>
    <w:rsid w:val="00CF7A8D"/>
    <w:rsid w:val="00DA7336"/>
    <w:rsid w:val="00DB195E"/>
    <w:rsid w:val="00E53C40"/>
    <w:rsid w:val="00E83F2B"/>
    <w:rsid w:val="00F1288C"/>
    <w:rsid w:val="00F502EB"/>
    <w:rsid w:val="00F50929"/>
    <w:rsid w:val="00F82463"/>
    <w:rsid w:val="00F9482A"/>
    <w:rsid w:val="00FA1994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B9D5"/>
  <w15:docId w15:val="{534F96D7-A951-49A2-877A-1191848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B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7700</Characters>
  <Application>Microsoft Office Word</Application>
  <DocSecurity>0</DocSecurity>
  <Lines>171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Caverly</dc:creator>
  <cp:keywords/>
  <cp:lastModifiedBy>Nicole Caverly</cp:lastModifiedBy>
  <cp:revision>2</cp:revision>
  <dcterms:created xsi:type="dcterms:W3CDTF">2020-06-22T14:58:00Z</dcterms:created>
  <dcterms:modified xsi:type="dcterms:W3CDTF">2020-06-22T14:58:00Z</dcterms:modified>
</cp:coreProperties>
</file>